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7E1A" w14:textId="494BFC38" w:rsidR="00A22363" w:rsidRPr="00B554DF" w:rsidRDefault="00AC1A55" w:rsidP="00B554DF">
      <w:pPr>
        <w:pStyle w:val="Title"/>
      </w:pPr>
      <w:r w:rsidRPr="00B554DF">
        <w:t>Diploma of Nursing – Conceptual Framework</w:t>
      </w:r>
    </w:p>
    <w:p w14:paraId="3134C8D7" w14:textId="63467411" w:rsidR="00AC1A55" w:rsidRPr="00D60CCA" w:rsidRDefault="00AC1A55" w:rsidP="004C3490">
      <w:pPr>
        <w:rPr>
          <w:szCs w:val="24"/>
        </w:rPr>
      </w:pPr>
      <w:r w:rsidRPr="00D60CCA">
        <w:rPr>
          <w:szCs w:val="24"/>
        </w:rPr>
        <w:t>Nurses promote wellness, quality o</w:t>
      </w:r>
      <w:r w:rsidR="00593E27">
        <w:rPr>
          <w:szCs w:val="24"/>
        </w:rPr>
        <w:t xml:space="preserve">f life and dying with dignity. </w:t>
      </w:r>
      <w:r w:rsidRPr="00D60CCA">
        <w:rPr>
          <w:szCs w:val="24"/>
        </w:rPr>
        <w:t xml:space="preserve">They achieve this through building therapeutic relationships with clients’ and putting them at the </w:t>
      </w:r>
      <w:r w:rsidR="00593E27">
        <w:rPr>
          <w:szCs w:val="24"/>
        </w:rPr>
        <w:t>centre of each episode of care.</w:t>
      </w:r>
      <w:r w:rsidRPr="00D60CCA">
        <w:rPr>
          <w:szCs w:val="24"/>
        </w:rPr>
        <w:t xml:space="preserve"> Nurses care for each of their clients’ holistically, recognising that each individual has their own set of values, beliefs and knowledge that will influence their goals and experiences within the healthcare system.  Nurses are held in high regard as a profession and therefore strive to maintain professional standards of practice to uphold public expectation of the profession</w:t>
      </w:r>
      <w:r w:rsidR="001E6B52">
        <w:rPr>
          <w:szCs w:val="24"/>
          <w:vertAlign w:val="superscript"/>
        </w:rPr>
        <w:t xml:space="preserve"> </w:t>
      </w:r>
      <w:r w:rsidR="001E6B52">
        <w:rPr>
          <w:szCs w:val="24"/>
        </w:rPr>
        <w:t>(Nursing and Midwifery Board of Australia 2017)</w:t>
      </w:r>
      <w:r w:rsidR="001E6B52" w:rsidRPr="00D60CCA">
        <w:rPr>
          <w:szCs w:val="24"/>
        </w:rPr>
        <w:t>.</w:t>
      </w:r>
    </w:p>
    <w:p w14:paraId="7DF2C1CA" w14:textId="17B72DC5" w:rsidR="00AC1A55" w:rsidRPr="00D60CCA" w:rsidRDefault="00AC1A55" w:rsidP="00AC1A55">
      <w:pPr>
        <w:rPr>
          <w:szCs w:val="24"/>
        </w:rPr>
      </w:pPr>
      <w:r w:rsidRPr="00D60CCA">
        <w:rPr>
          <w:szCs w:val="24"/>
        </w:rPr>
        <w:t xml:space="preserve">Just as nurses have a </w:t>
      </w:r>
      <w:proofErr w:type="gramStart"/>
      <w:r w:rsidRPr="00D60CCA">
        <w:rPr>
          <w:szCs w:val="24"/>
        </w:rPr>
        <w:t>person centred</w:t>
      </w:r>
      <w:proofErr w:type="gramEnd"/>
      <w:r w:rsidRPr="00D60CCA">
        <w:rPr>
          <w:szCs w:val="24"/>
        </w:rPr>
        <w:t xml:space="preserve"> approach to care, so too does TasTAFE have a student centred</w:t>
      </w:r>
      <w:r w:rsidR="00593E27">
        <w:rPr>
          <w:szCs w:val="24"/>
        </w:rPr>
        <w:t xml:space="preserve"> approach to nursing education.</w:t>
      </w:r>
      <w:r w:rsidRPr="00D60CCA">
        <w:rPr>
          <w:szCs w:val="24"/>
        </w:rPr>
        <w:t xml:space="preserve"> Our teachers are passionate about nursing as a profession and recognise that each student has their own life experiences, educational experiences and values which will influence their nursing education journey and inform their nursing practice. We achieve a </w:t>
      </w:r>
      <w:r w:rsidR="007D24EF" w:rsidRPr="00D60CCA">
        <w:rPr>
          <w:szCs w:val="24"/>
        </w:rPr>
        <w:t>student-centred</w:t>
      </w:r>
      <w:r w:rsidRPr="00D60CCA">
        <w:rPr>
          <w:szCs w:val="24"/>
        </w:rPr>
        <w:t xml:space="preserve"> approach by </w:t>
      </w:r>
      <w:r w:rsidR="00912DE2">
        <w:rPr>
          <w:szCs w:val="24"/>
        </w:rPr>
        <w:t xml:space="preserve">ensuring </w:t>
      </w:r>
      <w:r w:rsidR="00FF75F2">
        <w:rPr>
          <w:szCs w:val="24"/>
        </w:rPr>
        <w:t>students become familiar with a core group of teacher</w:t>
      </w:r>
      <w:r w:rsidR="00B24E14">
        <w:rPr>
          <w:szCs w:val="24"/>
        </w:rPr>
        <w:t>s specifically allocated to each stage of their nursing education journey.</w:t>
      </w:r>
      <w:r w:rsidR="00593E27">
        <w:rPr>
          <w:szCs w:val="24"/>
        </w:rPr>
        <w:t xml:space="preserve"> </w:t>
      </w:r>
      <w:r w:rsidRPr="00D60CCA">
        <w:rPr>
          <w:szCs w:val="24"/>
        </w:rPr>
        <w:t xml:space="preserve">From the point of </w:t>
      </w:r>
      <w:r w:rsidR="007D24EF">
        <w:rPr>
          <w:szCs w:val="24"/>
        </w:rPr>
        <w:t>induction</w:t>
      </w:r>
      <w:r w:rsidRPr="00D60CCA">
        <w:rPr>
          <w:szCs w:val="24"/>
        </w:rPr>
        <w:t xml:space="preserve"> through to graduation, students will have contact with teachers and support staff who know them by name and celebrate student achievement. </w:t>
      </w:r>
    </w:p>
    <w:p w14:paraId="7F5E3B30" w14:textId="5E3351B3" w:rsidR="00AC1A55" w:rsidRPr="00D60CCA" w:rsidRDefault="00AC1A55" w:rsidP="00AC1A55">
      <w:pPr>
        <w:rPr>
          <w:szCs w:val="24"/>
        </w:rPr>
      </w:pPr>
      <w:r w:rsidRPr="00D60CCA">
        <w:rPr>
          <w:szCs w:val="24"/>
        </w:rPr>
        <w:t>The Diploma of Nursing program requires graduates to develop both technical and theoretical knowledge required to provide nursing care for people across different stages of life in a range of settings across the health sector</w:t>
      </w:r>
      <w:r w:rsidR="00AB163F">
        <w:rPr>
          <w:szCs w:val="24"/>
        </w:rPr>
        <w:t xml:space="preserve"> (Industry Skills Council 2015)</w:t>
      </w:r>
      <w:r w:rsidR="00593E27">
        <w:rPr>
          <w:szCs w:val="24"/>
        </w:rPr>
        <w:t xml:space="preserve">. </w:t>
      </w:r>
      <w:r w:rsidRPr="00D60CCA">
        <w:rPr>
          <w:szCs w:val="24"/>
        </w:rPr>
        <w:t>Graduates of the Diploma of Nursing program require well developed cognitive, technical and communication skills, and have the ability to apply these skills in dynamic and changing environments</w:t>
      </w:r>
      <w:r w:rsidR="00AB163F">
        <w:rPr>
          <w:szCs w:val="24"/>
        </w:rPr>
        <w:t xml:space="preserve"> (</w:t>
      </w:r>
      <w:r w:rsidR="00AB163F" w:rsidRPr="00056D8E">
        <w:rPr>
          <w:color w:val="auto"/>
          <w:szCs w:val="24"/>
        </w:rPr>
        <w:t>A</w:t>
      </w:r>
      <w:r w:rsidR="00AB163F">
        <w:rPr>
          <w:color w:val="auto"/>
          <w:szCs w:val="24"/>
        </w:rPr>
        <w:t xml:space="preserve">ustralian </w:t>
      </w:r>
      <w:r w:rsidR="00AB163F" w:rsidRPr="00056D8E">
        <w:rPr>
          <w:color w:val="auto"/>
          <w:szCs w:val="24"/>
        </w:rPr>
        <w:t>Q</w:t>
      </w:r>
      <w:r w:rsidR="00AB163F">
        <w:rPr>
          <w:color w:val="auto"/>
          <w:szCs w:val="24"/>
        </w:rPr>
        <w:t xml:space="preserve">ualifications </w:t>
      </w:r>
      <w:r w:rsidR="00AB163F" w:rsidRPr="00056D8E">
        <w:rPr>
          <w:color w:val="auto"/>
          <w:szCs w:val="24"/>
        </w:rPr>
        <w:t>F</w:t>
      </w:r>
      <w:r w:rsidR="00AB163F">
        <w:rPr>
          <w:color w:val="auto"/>
          <w:szCs w:val="24"/>
        </w:rPr>
        <w:t>ramework Council 2013)</w:t>
      </w:r>
      <w:r w:rsidRPr="00AB163F">
        <w:rPr>
          <w:szCs w:val="24"/>
        </w:rPr>
        <w:t>.</w:t>
      </w:r>
    </w:p>
    <w:p w14:paraId="4ABA0B2B" w14:textId="33450459" w:rsidR="00593E27" w:rsidRPr="00B21C43" w:rsidRDefault="00AC1A55" w:rsidP="00593E27">
      <w:pPr>
        <w:rPr>
          <w:rFonts w:cs="Arial"/>
          <w:color w:val="333333"/>
          <w:szCs w:val="24"/>
        </w:rPr>
      </w:pPr>
      <w:r w:rsidRPr="0055460A">
        <w:rPr>
          <w:rFonts w:cs="Arial"/>
          <w:szCs w:val="24"/>
        </w:rPr>
        <w:t>A modern constructivist framework underpins the TasTAFE Diploma of nursi</w:t>
      </w:r>
      <w:r w:rsidR="00593E27">
        <w:rPr>
          <w:rFonts w:cs="Arial"/>
          <w:szCs w:val="24"/>
        </w:rPr>
        <w:t xml:space="preserve">ng programme. </w:t>
      </w:r>
      <w:r w:rsidRPr="0055460A">
        <w:rPr>
          <w:rFonts w:cs="Arial"/>
          <w:szCs w:val="24"/>
        </w:rPr>
        <w:t>Our teachers are student focussed and consider previous learning to be a foundation upon whi</w:t>
      </w:r>
      <w:r w:rsidR="00AB163F">
        <w:rPr>
          <w:rFonts w:cs="Arial"/>
          <w:szCs w:val="24"/>
        </w:rPr>
        <w:t>ch to build and expand knowledge (Peters 2000)</w:t>
      </w:r>
      <w:r w:rsidRPr="0055460A">
        <w:rPr>
          <w:rFonts w:ascii="Arial" w:hAnsi="Arial" w:cs="Arial"/>
          <w:sz w:val="23"/>
          <w:szCs w:val="23"/>
        </w:rPr>
        <w:t>.</w:t>
      </w:r>
      <w:r w:rsidR="00593E27">
        <w:rPr>
          <w:szCs w:val="24"/>
        </w:rPr>
        <w:t xml:space="preserve"> </w:t>
      </w:r>
      <w:r w:rsidRPr="0055460A">
        <w:rPr>
          <w:rFonts w:cs="Arial"/>
          <w:szCs w:val="24"/>
        </w:rPr>
        <w:t xml:space="preserve">Our constructivist </w:t>
      </w:r>
      <w:r>
        <w:rPr>
          <w:rFonts w:cs="Arial"/>
          <w:szCs w:val="24"/>
        </w:rPr>
        <w:t>a</w:t>
      </w:r>
      <w:r w:rsidRPr="0055460A">
        <w:rPr>
          <w:rFonts w:cs="Arial"/>
          <w:szCs w:val="24"/>
        </w:rPr>
        <w:t xml:space="preserve">ndragogy is informed by theorists such as Lev Vygotsky, Jerome Bruner, David </w:t>
      </w:r>
      <w:proofErr w:type="spellStart"/>
      <w:r w:rsidRPr="0055460A">
        <w:rPr>
          <w:rFonts w:cs="Arial"/>
          <w:szCs w:val="24"/>
        </w:rPr>
        <w:t>Ausubel</w:t>
      </w:r>
      <w:proofErr w:type="spellEnd"/>
      <w:r>
        <w:rPr>
          <w:rFonts w:ascii="Arial" w:hAnsi="Arial" w:cs="Arial"/>
          <w:color w:val="333333"/>
          <w:sz w:val="23"/>
          <w:szCs w:val="23"/>
        </w:rPr>
        <w:t xml:space="preserve">. </w:t>
      </w:r>
      <w:r w:rsidR="00B21C43" w:rsidRPr="005442D8">
        <w:rPr>
          <w:rFonts w:cs="Arial"/>
          <w:color w:val="auto"/>
          <w:szCs w:val="24"/>
        </w:rPr>
        <w:t xml:space="preserve">The Diploma </w:t>
      </w:r>
      <w:r w:rsidR="00EA6A48">
        <w:rPr>
          <w:rFonts w:cs="Arial"/>
          <w:color w:val="333333"/>
          <w:szCs w:val="24"/>
        </w:rPr>
        <w:t xml:space="preserve">of nursing program at TasTAFE </w:t>
      </w:r>
      <w:r w:rsidR="00750BF8">
        <w:rPr>
          <w:rFonts w:cs="Arial"/>
          <w:color w:val="333333"/>
          <w:szCs w:val="24"/>
        </w:rPr>
        <w:t>appl</w:t>
      </w:r>
      <w:r w:rsidR="0021295B">
        <w:rPr>
          <w:rFonts w:cs="Arial"/>
          <w:color w:val="333333"/>
          <w:szCs w:val="24"/>
        </w:rPr>
        <w:t>ie</w:t>
      </w:r>
      <w:r w:rsidR="00750BF8">
        <w:rPr>
          <w:rFonts w:cs="Arial"/>
          <w:color w:val="333333"/>
          <w:szCs w:val="24"/>
        </w:rPr>
        <w:t xml:space="preserve">s social constructivism principles by </w:t>
      </w:r>
      <w:r w:rsidR="0021295B">
        <w:rPr>
          <w:rFonts w:cs="Arial"/>
          <w:color w:val="333333"/>
          <w:szCs w:val="24"/>
        </w:rPr>
        <w:t xml:space="preserve">using </w:t>
      </w:r>
      <w:r w:rsidR="000D1AB4">
        <w:rPr>
          <w:rFonts w:cs="Arial"/>
          <w:color w:val="333333"/>
          <w:szCs w:val="24"/>
        </w:rPr>
        <w:t>the pedagogical appro</w:t>
      </w:r>
      <w:r w:rsidR="0079472C">
        <w:rPr>
          <w:rFonts w:cs="Arial"/>
          <w:color w:val="333333"/>
          <w:szCs w:val="24"/>
        </w:rPr>
        <w:t xml:space="preserve">ach </w:t>
      </w:r>
      <w:r w:rsidR="00E02526">
        <w:rPr>
          <w:rFonts w:cs="Arial"/>
          <w:color w:val="333333"/>
          <w:szCs w:val="24"/>
        </w:rPr>
        <w:t xml:space="preserve">of Flipped Learning, whereby </w:t>
      </w:r>
      <w:r w:rsidR="00974362">
        <w:rPr>
          <w:rFonts w:cs="Arial"/>
          <w:color w:val="333333"/>
          <w:szCs w:val="24"/>
        </w:rPr>
        <w:t>l</w:t>
      </w:r>
      <w:r w:rsidR="00EB75BE">
        <w:rPr>
          <w:rFonts w:cs="Arial"/>
          <w:color w:val="333333"/>
          <w:szCs w:val="24"/>
        </w:rPr>
        <w:t>earner-to-content</w:t>
      </w:r>
      <w:r w:rsidR="00171E9E">
        <w:rPr>
          <w:rFonts w:cs="Arial"/>
          <w:color w:val="333333"/>
          <w:szCs w:val="24"/>
        </w:rPr>
        <w:t xml:space="preserve"> interaction is undertaken via students engaging with learning materials presented </w:t>
      </w:r>
      <w:r w:rsidR="00300CA1">
        <w:rPr>
          <w:rFonts w:cs="Arial"/>
          <w:color w:val="333333"/>
          <w:szCs w:val="24"/>
        </w:rPr>
        <w:t xml:space="preserve">in </w:t>
      </w:r>
      <w:proofErr w:type="spellStart"/>
      <w:r w:rsidR="00300CA1">
        <w:rPr>
          <w:rFonts w:cs="Arial"/>
          <w:color w:val="333333"/>
          <w:szCs w:val="24"/>
        </w:rPr>
        <w:t>TasTAFE’s</w:t>
      </w:r>
      <w:proofErr w:type="spellEnd"/>
      <w:r w:rsidR="00300CA1">
        <w:rPr>
          <w:rFonts w:cs="Arial"/>
          <w:color w:val="333333"/>
          <w:szCs w:val="24"/>
        </w:rPr>
        <w:t xml:space="preserve"> Learning Management System Canvas</w:t>
      </w:r>
      <w:r w:rsidR="00BB2E87">
        <w:rPr>
          <w:rFonts w:cs="Arial"/>
          <w:color w:val="333333"/>
          <w:szCs w:val="24"/>
        </w:rPr>
        <w:t xml:space="preserve"> (Kim, Jung de </w:t>
      </w:r>
      <w:r w:rsidR="00F865AE">
        <w:rPr>
          <w:rFonts w:cs="Arial"/>
          <w:color w:val="333333"/>
          <w:szCs w:val="24"/>
        </w:rPr>
        <w:t xml:space="preserve">Siqueira &amp; </w:t>
      </w:r>
      <w:r w:rsidR="00ED321E">
        <w:rPr>
          <w:rFonts w:cs="Arial"/>
          <w:color w:val="333333"/>
          <w:szCs w:val="24"/>
        </w:rPr>
        <w:t>Huber 2016)</w:t>
      </w:r>
      <w:r w:rsidR="00300CA1">
        <w:rPr>
          <w:rFonts w:cs="Arial"/>
          <w:color w:val="333333"/>
          <w:szCs w:val="24"/>
        </w:rPr>
        <w:t xml:space="preserve">.  </w:t>
      </w:r>
      <w:r w:rsidR="00D2088A">
        <w:rPr>
          <w:rFonts w:cs="Arial"/>
          <w:color w:val="333333"/>
          <w:szCs w:val="24"/>
        </w:rPr>
        <w:t>T</w:t>
      </w:r>
      <w:r w:rsidR="00434C22">
        <w:rPr>
          <w:rFonts w:cs="Arial"/>
          <w:color w:val="333333"/>
          <w:szCs w:val="24"/>
        </w:rPr>
        <w:t xml:space="preserve">his allows </w:t>
      </w:r>
      <w:r w:rsidR="00C3727A">
        <w:rPr>
          <w:rFonts w:cs="Arial"/>
          <w:color w:val="333333"/>
          <w:szCs w:val="24"/>
        </w:rPr>
        <w:t>‘in-class’ time to be dedica</w:t>
      </w:r>
      <w:r w:rsidR="00C3727A" w:rsidRPr="003172E4">
        <w:rPr>
          <w:rFonts w:cs="Arial"/>
          <w:color w:val="auto"/>
          <w:szCs w:val="24"/>
        </w:rPr>
        <w:t xml:space="preserve">ted to </w:t>
      </w:r>
      <w:r w:rsidR="00097EE9" w:rsidRPr="003172E4">
        <w:rPr>
          <w:rFonts w:cs="Arial"/>
          <w:color w:val="auto"/>
          <w:szCs w:val="24"/>
        </w:rPr>
        <w:t xml:space="preserve">creating rich learning opportunities through </w:t>
      </w:r>
      <w:r w:rsidR="00185EEB" w:rsidRPr="003172E4">
        <w:rPr>
          <w:rFonts w:cs="Arial"/>
          <w:color w:val="auto"/>
          <w:szCs w:val="24"/>
        </w:rPr>
        <w:t xml:space="preserve">social interaction and peer </w:t>
      </w:r>
      <w:r w:rsidR="00185EEB" w:rsidRPr="003172E4">
        <w:rPr>
          <w:rFonts w:cs="Arial"/>
          <w:color w:val="auto"/>
          <w:szCs w:val="24"/>
        </w:rPr>
        <w:lastRenderedPageBreak/>
        <w:t>review</w:t>
      </w:r>
      <w:r w:rsidR="00671A8F" w:rsidRPr="003172E4">
        <w:rPr>
          <w:rFonts w:cs="Arial"/>
          <w:color w:val="auto"/>
          <w:szCs w:val="24"/>
        </w:rPr>
        <w:t xml:space="preserve"> (Flipped Learning Network</w:t>
      </w:r>
      <w:r w:rsidR="004358FB" w:rsidRPr="003172E4">
        <w:rPr>
          <w:rFonts w:cs="Arial"/>
          <w:color w:val="auto"/>
          <w:szCs w:val="24"/>
        </w:rPr>
        <w:t xml:space="preserve"> </w:t>
      </w:r>
      <w:r w:rsidR="00671A8F" w:rsidRPr="003172E4">
        <w:rPr>
          <w:rFonts w:cs="Arial"/>
          <w:color w:val="auto"/>
          <w:szCs w:val="24"/>
        </w:rPr>
        <w:t>2014)</w:t>
      </w:r>
      <w:r w:rsidR="00185EEB" w:rsidRPr="003172E4">
        <w:rPr>
          <w:rFonts w:cs="Arial"/>
          <w:color w:val="auto"/>
          <w:szCs w:val="24"/>
        </w:rPr>
        <w:t>.  Our dedicated teachers</w:t>
      </w:r>
      <w:r w:rsidR="00651541" w:rsidRPr="003172E4">
        <w:rPr>
          <w:rFonts w:cs="Arial"/>
          <w:color w:val="auto"/>
          <w:szCs w:val="24"/>
        </w:rPr>
        <w:t xml:space="preserve"> facilitate </w:t>
      </w:r>
      <w:r w:rsidR="00C60004" w:rsidRPr="003172E4">
        <w:rPr>
          <w:rFonts w:cs="Arial"/>
          <w:color w:val="auto"/>
          <w:szCs w:val="24"/>
        </w:rPr>
        <w:t xml:space="preserve">student-centred learning activities </w:t>
      </w:r>
      <w:r w:rsidR="002E4061" w:rsidRPr="003172E4">
        <w:rPr>
          <w:rFonts w:cs="Arial"/>
          <w:color w:val="auto"/>
          <w:szCs w:val="24"/>
        </w:rPr>
        <w:t xml:space="preserve">during remotely facilitated tutorials conducted via </w:t>
      </w:r>
      <w:r w:rsidR="00E27B41" w:rsidRPr="003172E4">
        <w:rPr>
          <w:rFonts w:cs="Arial"/>
          <w:color w:val="auto"/>
          <w:szCs w:val="24"/>
        </w:rPr>
        <w:t xml:space="preserve">Zoom and bring to life </w:t>
      </w:r>
      <w:r w:rsidR="001173DB" w:rsidRPr="003172E4">
        <w:rPr>
          <w:rFonts w:cs="Arial"/>
          <w:color w:val="auto"/>
          <w:szCs w:val="24"/>
        </w:rPr>
        <w:t xml:space="preserve">the complexities of nursing practice </w:t>
      </w:r>
      <w:r w:rsidR="005442D8" w:rsidRPr="003172E4">
        <w:rPr>
          <w:rFonts w:cs="Arial"/>
          <w:color w:val="auto"/>
          <w:szCs w:val="24"/>
        </w:rPr>
        <w:t>during hands-on practical simulation learning opportunities.</w:t>
      </w:r>
    </w:p>
    <w:p w14:paraId="0E10BFCA" w14:textId="56A575C1" w:rsidR="00AA3AE1" w:rsidRDefault="0038299A" w:rsidP="00593E27">
      <w:pPr>
        <w:rPr>
          <w:szCs w:val="24"/>
        </w:rPr>
      </w:pPr>
      <w:r>
        <w:rPr>
          <w:szCs w:val="24"/>
        </w:rPr>
        <w:t xml:space="preserve">TasTAFE recognises that students bring a wide array of </w:t>
      </w:r>
      <w:r w:rsidR="006F74BD">
        <w:rPr>
          <w:szCs w:val="24"/>
        </w:rPr>
        <w:t xml:space="preserve">previous educational </w:t>
      </w:r>
      <w:r>
        <w:rPr>
          <w:szCs w:val="24"/>
        </w:rPr>
        <w:t xml:space="preserve">experiences </w:t>
      </w:r>
      <w:r w:rsidR="00D95F75">
        <w:rPr>
          <w:szCs w:val="24"/>
        </w:rPr>
        <w:t>with them when commencing the Diploma of Nursing program</w:t>
      </w:r>
      <w:r w:rsidR="006F74BD">
        <w:rPr>
          <w:szCs w:val="24"/>
        </w:rPr>
        <w:t xml:space="preserve">.  Many students will not have experienced learning through a Flipped Learning </w:t>
      </w:r>
      <w:r w:rsidR="008D4616">
        <w:rPr>
          <w:szCs w:val="24"/>
        </w:rPr>
        <w:t>model.  TasTAFE facilitates a</w:t>
      </w:r>
      <w:r w:rsidR="00AB088D">
        <w:rPr>
          <w:szCs w:val="24"/>
        </w:rPr>
        <w:t xml:space="preserve">n intensive induction program for all students </w:t>
      </w:r>
      <w:r w:rsidR="00F67E66">
        <w:rPr>
          <w:szCs w:val="24"/>
        </w:rPr>
        <w:t xml:space="preserve">in order to develop the technical </w:t>
      </w:r>
      <w:r w:rsidR="002231B3">
        <w:rPr>
          <w:szCs w:val="24"/>
        </w:rPr>
        <w:t>and personal study skills that are required to be successful in the program</w:t>
      </w:r>
      <w:r w:rsidR="00BD0132">
        <w:rPr>
          <w:szCs w:val="24"/>
        </w:rPr>
        <w:t xml:space="preserve">. </w:t>
      </w:r>
      <w:r w:rsidR="00AC60C2">
        <w:rPr>
          <w:szCs w:val="24"/>
        </w:rPr>
        <w:t xml:space="preserve"> </w:t>
      </w:r>
      <w:r w:rsidR="00211A63">
        <w:rPr>
          <w:szCs w:val="24"/>
        </w:rPr>
        <w:t xml:space="preserve">During this </w:t>
      </w:r>
      <w:r w:rsidR="00AF47F5">
        <w:rPr>
          <w:szCs w:val="24"/>
        </w:rPr>
        <w:t xml:space="preserve">induction </w:t>
      </w:r>
      <w:r w:rsidR="00DF2B7D">
        <w:rPr>
          <w:szCs w:val="24"/>
        </w:rPr>
        <w:t>period, our teachers work intensely with students to identify individual needs to support their study</w:t>
      </w:r>
      <w:r w:rsidR="00AF47F5">
        <w:rPr>
          <w:szCs w:val="24"/>
        </w:rPr>
        <w:t xml:space="preserve"> and make recommendations </w:t>
      </w:r>
      <w:r w:rsidR="001D6E48">
        <w:rPr>
          <w:szCs w:val="24"/>
        </w:rPr>
        <w:t xml:space="preserve">of how to access any additional supports that may be required.  </w:t>
      </w:r>
      <w:r w:rsidR="00AC60C2">
        <w:rPr>
          <w:szCs w:val="24"/>
        </w:rPr>
        <w:t>On</w:t>
      </w:r>
      <w:r w:rsidR="00F5432E">
        <w:rPr>
          <w:szCs w:val="24"/>
        </w:rPr>
        <w:t>c</w:t>
      </w:r>
      <w:r w:rsidR="00AC60C2">
        <w:rPr>
          <w:szCs w:val="24"/>
        </w:rPr>
        <w:t xml:space="preserve">e students have the basics </w:t>
      </w:r>
      <w:r w:rsidR="00F5432E">
        <w:rPr>
          <w:szCs w:val="24"/>
        </w:rPr>
        <w:t>of how to engage in</w:t>
      </w:r>
      <w:r w:rsidR="00D17490">
        <w:rPr>
          <w:szCs w:val="24"/>
        </w:rPr>
        <w:t xml:space="preserve"> learning in the Flipped Learning model, </w:t>
      </w:r>
      <w:r w:rsidR="00090FFC">
        <w:rPr>
          <w:szCs w:val="24"/>
        </w:rPr>
        <w:t>they are better prepared to</w:t>
      </w:r>
      <w:r w:rsidR="005950FB">
        <w:rPr>
          <w:szCs w:val="24"/>
        </w:rPr>
        <w:t xml:space="preserve"> launch into </w:t>
      </w:r>
      <w:r w:rsidR="00DC02D4">
        <w:rPr>
          <w:szCs w:val="24"/>
        </w:rPr>
        <w:t xml:space="preserve">course specific materials. </w:t>
      </w:r>
    </w:p>
    <w:p w14:paraId="149F9D95" w14:textId="7E6544E3" w:rsidR="00593E27" w:rsidRPr="00AB163F" w:rsidRDefault="00AC1A55" w:rsidP="00593E27">
      <w:pPr>
        <w:rPr>
          <w:szCs w:val="24"/>
        </w:rPr>
      </w:pPr>
      <w:r w:rsidRPr="00D60CCA">
        <w:rPr>
          <w:szCs w:val="24"/>
        </w:rPr>
        <w:t xml:space="preserve">In order to develop students throughout the Diploma of Nursing program, TasTAFE scaffolds students learning experiences using </w:t>
      </w:r>
      <w:r w:rsidR="00593E27">
        <w:rPr>
          <w:szCs w:val="24"/>
        </w:rPr>
        <w:t xml:space="preserve">a spiral curriculum structure. </w:t>
      </w:r>
      <w:r w:rsidRPr="00D60CCA">
        <w:rPr>
          <w:szCs w:val="24"/>
        </w:rPr>
        <w:t>The spiral curriculum approach (Figure 1) allows students to construct learning through repeated experience, practice and critical examination of concepts and technical skills that increase in complexity in each revisitation</w:t>
      </w:r>
      <w:r w:rsidR="00AB163F">
        <w:rPr>
          <w:szCs w:val="24"/>
        </w:rPr>
        <w:t xml:space="preserve"> (</w:t>
      </w:r>
      <w:r w:rsidR="00AB163F">
        <w:rPr>
          <w:rStyle w:val="citation-author"/>
          <w:color w:val="auto"/>
          <w:szCs w:val="24"/>
        </w:rPr>
        <w:t xml:space="preserve">Ross, </w:t>
      </w:r>
      <w:proofErr w:type="spellStart"/>
      <w:r w:rsidR="00AB163F">
        <w:rPr>
          <w:rStyle w:val="citation-author"/>
          <w:color w:val="auto"/>
          <w:szCs w:val="24"/>
        </w:rPr>
        <w:t>Noone</w:t>
      </w:r>
      <w:proofErr w:type="spellEnd"/>
      <w:r w:rsidR="00AB163F">
        <w:rPr>
          <w:rStyle w:val="citation-author"/>
          <w:color w:val="auto"/>
          <w:szCs w:val="24"/>
        </w:rPr>
        <w:t xml:space="preserve">, Luce &amp; </w:t>
      </w:r>
      <w:proofErr w:type="spellStart"/>
      <w:r w:rsidR="00AB163F">
        <w:rPr>
          <w:rStyle w:val="citation-author"/>
          <w:color w:val="auto"/>
          <w:szCs w:val="24"/>
        </w:rPr>
        <w:t>Sideras</w:t>
      </w:r>
      <w:proofErr w:type="spellEnd"/>
      <w:r w:rsidR="00AB163F">
        <w:rPr>
          <w:rStyle w:val="citation-author"/>
          <w:color w:val="auto"/>
          <w:szCs w:val="24"/>
        </w:rPr>
        <w:t xml:space="preserve"> </w:t>
      </w:r>
      <w:r w:rsidR="00AB163F" w:rsidRPr="0017491A">
        <w:rPr>
          <w:rStyle w:val="citation-year"/>
          <w:color w:val="auto"/>
          <w:szCs w:val="24"/>
        </w:rPr>
        <w:t>2009</w:t>
      </w:r>
      <w:r w:rsidR="00AB163F">
        <w:rPr>
          <w:rStyle w:val="citation-year"/>
          <w:color w:val="auto"/>
          <w:szCs w:val="24"/>
        </w:rPr>
        <w:t>)</w:t>
      </w:r>
      <w:r w:rsidR="00593E27">
        <w:rPr>
          <w:szCs w:val="24"/>
        </w:rPr>
        <w:t xml:space="preserve">. </w:t>
      </w:r>
      <w:r w:rsidRPr="00D60CCA">
        <w:rPr>
          <w:szCs w:val="24"/>
        </w:rPr>
        <w:t>For example, at the base of the spiral students may be introduced to evidenced based approaches to controlling the spread of infection such as handwashing. As learning progresses, students will continuously revisit infection control measures through participation in simulated client care scenarios. Finally, students will be able to demonstrate their role and responsibilities in relation to preventing and controlling healthcare-associated infection through participation in complex care scenarios and identifying relevant standards of practice.</w:t>
      </w:r>
      <w:r w:rsidR="00593E27" w:rsidRPr="00593E27">
        <w:rPr>
          <w:b/>
        </w:rPr>
        <w:t xml:space="preserve"> </w:t>
      </w:r>
    </w:p>
    <w:p w14:paraId="20E27B1B" w14:textId="77777777" w:rsidR="00593E27" w:rsidRPr="00593E27" w:rsidRDefault="00593E27" w:rsidP="00B554DF">
      <w:pPr>
        <w:pStyle w:val="Title"/>
      </w:pPr>
    </w:p>
    <w:p w14:paraId="0A0D0C04" w14:textId="6758D3C9" w:rsidR="00593E27" w:rsidRPr="00593E27" w:rsidRDefault="00A55D8C" w:rsidP="00593E27">
      <w:pPr>
        <w:jc w:val="center"/>
        <w:rPr>
          <w:szCs w:val="24"/>
        </w:rPr>
      </w:pPr>
      <w:r>
        <w:rPr>
          <w:noProof/>
          <w:szCs w:val="24"/>
        </w:rPr>
        <w:drawing>
          <wp:inline distT="0" distB="0" distL="0" distR="0" wp14:anchorId="55C1A960" wp14:editId="1423BD63">
            <wp:extent cx="3400154" cy="38785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080" cy="3892131"/>
                    </a:xfrm>
                    <a:prstGeom prst="rect">
                      <a:avLst/>
                    </a:prstGeom>
                  </pic:spPr>
                </pic:pic>
              </a:graphicData>
            </a:graphic>
          </wp:inline>
        </w:drawing>
      </w:r>
    </w:p>
    <w:p w14:paraId="5AB6B759" w14:textId="7DBE5E9D" w:rsidR="00593E27" w:rsidRPr="00D34B4D" w:rsidRDefault="00593E27" w:rsidP="00593E27">
      <w:r w:rsidRPr="00BF7F31">
        <w:rPr>
          <w:b/>
        </w:rPr>
        <w:t>Figure 1. The spiral curriculum</w:t>
      </w:r>
      <w:r w:rsidR="00D34B4D">
        <w:rPr>
          <w:b/>
        </w:rPr>
        <w:t xml:space="preserve"> </w:t>
      </w:r>
      <w:r w:rsidR="00D34B4D">
        <w:t>(</w:t>
      </w:r>
      <w:r w:rsidR="00CA1A1C">
        <w:t xml:space="preserve">© </w:t>
      </w:r>
      <w:r w:rsidR="00D34B4D">
        <w:t>2019</w:t>
      </w:r>
      <w:r w:rsidR="00CA1A1C" w:rsidRPr="00CA1A1C">
        <w:t xml:space="preserve"> </w:t>
      </w:r>
      <w:r w:rsidR="00CA1A1C">
        <w:t>TasTAFE</w:t>
      </w:r>
      <w:r w:rsidR="00D34B4D">
        <w:t>)</w:t>
      </w:r>
    </w:p>
    <w:p w14:paraId="058FE633" w14:textId="77777777" w:rsidR="00593E27" w:rsidRPr="00593E27" w:rsidRDefault="00593E27" w:rsidP="00B554DF">
      <w:pPr>
        <w:pStyle w:val="Title"/>
      </w:pPr>
    </w:p>
    <w:p w14:paraId="64B8B7CA" w14:textId="35A2B431" w:rsidR="00AC1A55" w:rsidRDefault="00AC1A55" w:rsidP="00AC1A55">
      <w:pPr>
        <w:rPr>
          <w:szCs w:val="24"/>
        </w:rPr>
      </w:pPr>
      <w:r w:rsidRPr="00D60CCA">
        <w:rPr>
          <w:szCs w:val="24"/>
        </w:rPr>
        <w:t>For students to be able to achieve the complexity of knowledge and skills required, the spiral curriculum is dependent not only on repetition and practice, but upon critical ex</w:t>
      </w:r>
      <w:r w:rsidR="00593E27">
        <w:rPr>
          <w:szCs w:val="24"/>
        </w:rPr>
        <w:t>amination of these experiences.</w:t>
      </w:r>
      <w:r w:rsidRPr="00D60CCA">
        <w:rPr>
          <w:szCs w:val="24"/>
        </w:rPr>
        <w:t xml:space="preserve"> Throughout the Diploma of Nursing </w:t>
      </w:r>
      <w:proofErr w:type="gramStart"/>
      <w:r w:rsidRPr="00D60CCA">
        <w:rPr>
          <w:szCs w:val="24"/>
        </w:rPr>
        <w:t>teachers</w:t>
      </w:r>
      <w:proofErr w:type="gramEnd"/>
      <w:r w:rsidRPr="00D60CCA">
        <w:rPr>
          <w:szCs w:val="24"/>
        </w:rPr>
        <w:t xml:space="preserve"> model and teach students to become critically reflective practitioners through the use of the clinical reasoning cycle (Figure 2</w:t>
      </w:r>
      <w:r w:rsidRPr="00AB163F">
        <w:rPr>
          <w:szCs w:val="24"/>
        </w:rPr>
        <w:t>)</w:t>
      </w:r>
      <w:r w:rsidR="001E6B52" w:rsidRPr="00AB163F">
        <w:rPr>
          <w:szCs w:val="24"/>
        </w:rPr>
        <w:t xml:space="preserve"> (</w:t>
      </w:r>
      <w:proofErr w:type="spellStart"/>
      <w:r w:rsidR="001E6B52" w:rsidRPr="00AB163F">
        <w:rPr>
          <w:szCs w:val="24"/>
        </w:rPr>
        <w:t>Levett</w:t>
      </w:r>
      <w:proofErr w:type="spellEnd"/>
      <w:r w:rsidR="001E6B52" w:rsidRPr="00AB163F">
        <w:rPr>
          <w:szCs w:val="24"/>
        </w:rPr>
        <w:t>-Jones ed. 2013).</w:t>
      </w:r>
      <w:r w:rsidR="001E6B52" w:rsidRPr="00D60CCA">
        <w:rPr>
          <w:szCs w:val="24"/>
        </w:rPr>
        <w:t xml:space="preserve"> </w:t>
      </w:r>
      <w:r w:rsidRPr="00D60CCA">
        <w:rPr>
          <w:szCs w:val="24"/>
        </w:rPr>
        <w:t>The clinical reasoning cycle is a process by which nurses collect and process information in order to understand a situation so they can plan how to address problems, whilst encouraging them to evaluate, reflect and learn from the process</w:t>
      </w:r>
      <w:r w:rsidR="00AB163F">
        <w:rPr>
          <w:szCs w:val="24"/>
          <w:vertAlign w:val="superscript"/>
        </w:rPr>
        <w:t xml:space="preserve"> </w:t>
      </w:r>
      <w:r w:rsidR="00AB163F">
        <w:rPr>
          <w:szCs w:val="24"/>
        </w:rPr>
        <w:t>(</w:t>
      </w:r>
      <w:proofErr w:type="spellStart"/>
      <w:r w:rsidR="00AB163F">
        <w:rPr>
          <w:color w:val="auto"/>
          <w:szCs w:val="24"/>
        </w:rPr>
        <w:t>Levett</w:t>
      </w:r>
      <w:proofErr w:type="spellEnd"/>
      <w:r w:rsidR="00AB163F">
        <w:rPr>
          <w:color w:val="auto"/>
          <w:szCs w:val="24"/>
        </w:rPr>
        <w:t xml:space="preserve">-Jones, Hoffman, Dempsey, </w:t>
      </w:r>
      <w:proofErr w:type="spellStart"/>
      <w:r w:rsidR="00AB163F">
        <w:rPr>
          <w:color w:val="auto"/>
          <w:szCs w:val="24"/>
        </w:rPr>
        <w:t>Jeong</w:t>
      </w:r>
      <w:proofErr w:type="spellEnd"/>
      <w:r w:rsidR="00AB163F">
        <w:rPr>
          <w:color w:val="auto"/>
          <w:szCs w:val="24"/>
        </w:rPr>
        <w:t xml:space="preserve">, </w:t>
      </w:r>
      <w:r w:rsidR="00AB163F" w:rsidRPr="00B11EA1">
        <w:rPr>
          <w:color w:val="auto"/>
          <w:szCs w:val="24"/>
        </w:rPr>
        <w:t>&amp;</w:t>
      </w:r>
      <w:r w:rsidR="00AB163F">
        <w:rPr>
          <w:color w:val="auto"/>
          <w:szCs w:val="24"/>
        </w:rPr>
        <w:t xml:space="preserve"> Noble </w:t>
      </w:r>
      <w:r w:rsidR="00AB163F" w:rsidRPr="00B11EA1">
        <w:rPr>
          <w:color w:val="auto"/>
          <w:szCs w:val="24"/>
        </w:rPr>
        <w:t>2012</w:t>
      </w:r>
      <w:r w:rsidR="00AB163F">
        <w:rPr>
          <w:color w:val="auto"/>
          <w:szCs w:val="24"/>
        </w:rPr>
        <w:t>).</w:t>
      </w:r>
    </w:p>
    <w:p w14:paraId="39D78A24" w14:textId="32E4A0AE" w:rsidR="00AC1A55" w:rsidRDefault="00AC1A55" w:rsidP="00AC1A55">
      <w:pPr>
        <w:rPr>
          <w:szCs w:val="24"/>
        </w:rPr>
      </w:pPr>
      <w:r w:rsidRPr="005D184E">
        <w:rPr>
          <w:noProof/>
        </w:rPr>
        <w:lastRenderedPageBreak/>
        <w:drawing>
          <wp:anchor distT="0" distB="0" distL="114300" distR="114300" simplePos="0" relativeHeight="251661312" behindDoc="0" locked="0" layoutInCell="1" allowOverlap="1" wp14:anchorId="07F5032A" wp14:editId="0871D1DF">
            <wp:simplePos x="0" y="0"/>
            <wp:positionH relativeFrom="margin">
              <wp:align>left</wp:align>
            </wp:positionH>
            <wp:positionV relativeFrom="paragraph">
              <wp:posOffset>337185</wp:posOffset>
            </wp:positionV>
            <wp:extent cx="6718935" cy="4105275"/>
            <wp:effectExtent l="0" t="0" r="5715" b="9525"/>
            <wp:wrapTopAndBottom/>
            <wp:docPr id="2" name="Picture 2" descr="C:\Users\andrea.hampton\AppData\Local\Microsoft\Windows\INetCache\Content.Outlook\JEEGUZR4\clinical reasoning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hampton\AppData\Local\Microsoft\Windows\INetCache\Content.Outlook\JEEGUZR4\clinical reasoning graph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935"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A950A" w14:textId="1E31A73A" w:rsidR="00593E27" w:rsidRPr="00593E27" w:rsidRDefault="00593E27" w:rsidP="00593E27">
      <w:pPr>
        <w:rPr>
          <w:b/>
          <w:szCs w:val="24"/>
        </w:rPr>
      </w:pPr>
      <w:r>
        <w:rPr>
          <w:b/>
          <w:szCs w:val="24"/>
        </w:rPr>
        <w:br/>
      </w:r>
      <w:r w:rsidRPr="00593E27">
        <w:rPr>
          <w:b/>
          <w:szCs w:val="24"/>
        </w:rPr>
        <w:t>Figure 2. The clinical reasoning cycle</w:t>
      </w:r>
      <w:r w:rsidR="00BF7F31">
        <w:rPr>
          <w:b/>
          <w:szCs w:val="24"/>
          <w:vertAlign w:val="superscript"/>
        </w:rPr>
        <w:t xml:space="preserve"> </w:t>
      </w:r>
      <w:r w:rsidR="00BF7F31">
        <w:rPr>
          <w:szCs w:val="24"/>
        </w:rPr>
        <w:t>(</w:t>
      </w:r>
      <w:proofErr w:type="spellStart"/>
      <w:r w:rsidR="00BF7F31">
        <w:rPr>
          <w:szCs w:val="24"/>
        </w:rPr>
        <w:t>Levett</w:t>
      </w:r>
      <w:proofErr w:type="spellEnd"/>
      <w:r w:rsidR="00BF7F31">
        <w:rPr>
          <w:szCs w:val="24"/>
        </w:rPr>
        <w:t>-Jones 3013)</w:t>
      </w:r>
      <w:r w:rsidRPr="00593E27">
        <w:rPr>
          <w:b/>
          <w:szCs w:val="24"/>
        </w:rPr>
        <w:t xml:space="preserve">. </w:t>
      </w:r>
    </w:p>
    <w:p w14:paraId="201919E7" w14:textId="3AB63325" w:rsidR="00AC1A55" w:rsidRPr="00D60CCA" w:rsidRDefault="00AC1A55" w:rsidP="00AC1A55">
      <w:pPr>
        <w:rPr>
          <w:szCs w:val="24"/>
        </w:rPr>
      </w:pPr>
      <w:r w:rsidRPr="00D60CCA">
        <w:rPr>
          <w:szCs w:val="24"/>
        </w:rPr>
        <w:t>The spiral curriculum represents the structure of the Diploma of Nursing progra</w:t>
      </w:r>
      <w:r w:rsidR="00593E27">
        <w:rPr>
          <w:szCs w:val="24"/>
        </w:rPr>
        <w:t xml:space="preserve">m in three phases of learning. </w:t>
      </w:r>
      <w:r w:rsidRPr="00D60CCA">
        <w:rPr>
          <w:szCs w:val="24"/>
        </w:rPr>
        <w:t>The three phases of learning represented are interdependent, however distinction between the phases can be identified by Professional Experience opportunities at the end of each phase.</w:t>
      </w:r>
      <w:r w:rsidR="00593E27">
        <w:rPr>
          <w:szCs w:val="24"/>
        </w:rPr>
        <w:t xml:space="preserve"> </w:t>
      </w:r>
      <w:r w:rsidRPr="00D60CCA">
        <w:rPr>
          <w:szCs w:val="24"/>
        </w:rPr>
        <w:t xml:space="preserve">Within each phase of learning students are provided with facilitated learning opportunities of a theoretical nature, followed by practical ‘hands on’ learning to allow students to develop an understanding of how learned theory underpins nursing practice. </w:t>
      </w:r>
    </w:p>
    <w:p w14:paraId="2033F1DC" w14:textId="36821B3B" w:rsidR="00593E27" w:rsidRDefault="00AC1A55" w:rsidP="00AC1A55">
      <w:pPr>
        <w:rPr>
          <w:szCs w:val="24"/>
        </w:rPr>
      </w:pPr>
      <w:r w:rsidRPr="00D60CCA">
        <w:rPr>
          <w:szCs w:val="24"/>
        </w:rPr>
        <w:t>Practical learning opportunities initially focus on specific skills related to a distinct unit of study, such as</w:t>
      </w:r>
      <w:r w:rsidR="00593E27">
        <w:rPr>
          <w:szCs w:val="24"/>
        </w:rPr>
        <w:t xml:space="preserve"> clinical documentation. </w:t>
      </w:r>
      <w:r w:rsidRPr="00D60CCA">
        <w:rPr>
          <w:szCs w:val="24"/>
        </w:rPr>
        <w:t>All clinical skills are taught using current best practice methodologies</w:t>
      </w:r>
      <w:r w:rsidR="001E6B52">
        <w:rPr>
          <w:szCs w:val="24"/>
        </w:rPr>
        <w:t xml:space="preserve"> </w:t>
      </w:r>
      <w:r w:rsidR="001E6B52" w:rsidRPr="00BF7F31">
        <w:rPr>
          <w:szCs w:val="24"/>
        </w:rPr>
        <w:t>(</w:t>
      </w:r>
      <w:proofErr w:type="spellStart"/>
      <w:r w:rsidR="001E6B52" w:rsidRPr="00BF7F31">
        <w:rPr>
          <w:szCs w:val="24"/>
        </w:rPr>
        <w:t>Koutoukidis</w:t>
      </w:r>
      <w:proofErr w:type="spellEnd"/>
      <w:r w:rsidR="001E6B52" w:rsidRPr="00BF7F31">
        <w:rPr>
          <w:szCs w:val="24"/>
        </w:rPr>
        <w:t xml:space="preserve"> &amp; Stainton 2017)</w:t>
      </w:r>
      <w:r w:rsidR="001E6B52" w:rsidRPr="00D60CCA">
        <w:rPr>
          <w:szCs w:val="24"/>
        </w:rPr>
        <w:t xml:space="preserve"> </w:t>
      </w:r>
      <w:r w:rsidRPr="00D60CCA">
        <w:rPr>
          <w:szCs w:val="24"/>
        </w:rPr>
        <w:t>that are underpinned by safety and quality in healthcare standards</w:t>
      </w:r>
      <w:r w:rsidR="00BF7F31">
        <w:rPr>
          <w:szCs w:val="24"/>
        </w:rPr>
        <w:t xml:space="preserve"> (</w:t>
      </w:r>
      <w:r w:rsidR="00BF7F31" w:rsidRPr="00B11EA1">
        <w:rPr>
          <w:color w:val="auto"/>
          <w:szCs w:val="24"/>
        </w:rPr>
        <w:t>Australian Commission on Sa</w:t>
      </w:r>
      <w:r w:rsidR="00BF7F31">
        <w:rPr>
          <w:color w:val="auto"/>
          <w:szCs w:val="24"/>
        </w:rPr>
        <w:t>fety and Quality in Health Care 2017)</w:t>
      </w:r>
      <w:r w:rsidR="00593E27">
        <w:rPr>
          <w:szCs w:val="24"/>
        </w:rPr>
        <w:t xml:space="preserve">. </w:t>
      </w:r>
      <w:r w:rsidRPr="00D60CCA">
        <w:rPr>
          <w:szCs w:val="24"/>
        </w:rPr>
        <w:t>This ensures that all Diploma of Nursing graduates understand their role in quality imp</w:t>
      </w:r>
      <w:r w:rsidR="00593E27">
        <w:rPr>
          <w:szCs w:val="24"/>
        </w:rPr>
        <w:t>rovement and risk minimisation.</w:t>
      </w:r>
      <w:r w:rsidRPr="00D60CCA">
        <w:rPr>
          <w:szCs w:val="24"/>
        </w:rPr>
        <w:t xml:space="preserve"> Clinical skills practice and assessment allow students to develop towards demonstrated competence of the Nursing </w:t>
      </w:r>
      <w:r w:rsidRPr="00D60CCA">
        <w:rPr>
          <w:szCs w:val="24"/>
        </w:rPr>
        <w:lastRenderedPageBreak/>
        <w:t>and Midwifery Board of Australia Enrolled Nurse Standards for Practice</w:t>
      </w:r>
      <w:r w:rsidR="001E6B52">
        <w:rPr>
          <w:szCs w:val="24"/>
        </w:rPr>
        <w:t xml:space="preserve"> (Nursing and Midwifery Board of Australia 2017)</w:t>
      </w:r>
      <w:r w:rsidR="00593E27">
        <w:rPr>
          <w:szCs w:val="24"/>
        </w:rPr>
        <w:t xml:space="preserve">. </w:t>
      </w:r>
    </w:p>
    <w:p w14:paraId="66D1BBF4" w14:textId="6F4F2AEE" w:rsidR="00AC1A55" w:rsidRPr="00D60CCA" w:rsidRDefault="00AC1A55" w:rsidP="00AC1A55">
      <w:pPr>
        <w:rPr>
          <w:szCs w:val="24"/>
        </w:rPr>
      </w:pPr>
      <w:r w:rsidRPr="00D60CCA">
        <w:rPr>
          <w:szCs w:val="24"/>
        </w:rPr>
        <w:t>The process used to facilitate the development of clinical skills encourages students to develop an understanding of the Enrolled nurse scope of practice through use of the Decision-Making Framework</w:t>
      </w:r>
      <w:r w:rsidR="001E6B52">
        <w:rPr>
          <w:szCs w:val="24"/>
        </w:rPr>
        <w:t xml:space="preserve"> (Nursing and Midwifery Board of Australia 2013)</w:t>
      </w:r>
      <w:r w:rsidR="001E6B52" w:rsidRPr="00D60CCA">
        <w:rPr>
          <w:szCs w:val="24"/>
        </w:rPr>
        <w:t xml:space="preserve">. </w:t>
      </w:r>
      <w:r w:rsidRPr="00D60CCA">
        <w:rPr>
          <w:szCs w:val="24"/>
        </w:rPr>
        <w:t>Students are encouraged to reflect on their performance and learning through a self-assessment process.</w:t>
      </w:r>
      <w:r w:rsidR="00593E27">
        <w:rPr>
          <w:szCs w:val="24"/>
        </w:rPr>
        <w:t xml:space="preserve"> </w:t>
      </w:r>
      <w:r w:rsidRPr="00D60CCA">
        <w:rPr>
          <w:szCs w:val="24"/>
        </w:rPr>
        <w:t>Developing students’ abilities to self-assess throughout the Diploma of Nursing encourages students to reflect upon their own learning needs in order to meet established objectives.  Embedding these principles of self-regulation and responsibility for own learning within the Diploma of Nursing is integral in developing graduates that are self-directed and committed to the life-long learning requirements of a professional nurse</w:t>
      </w:r>
      <w:r w:rsidR="001E6B52">
        <w:rPr>
          <w:szCs w:val="24"/>
        </w:rPr>
        <w:t xml:space="preserve"> </w:t>
      </w:r>
      <w:r w:rsidR="00BF7F31">
        <w:rPr>
          <w:szCs w:val="24"/>
        </w:rPr>
        <w:t>(</w:t>
      </w:r>
      <w:proofErr w:type="spellStart"/>
      <w:r w:rsidR="00BF7F31">
        <w:rPr>
          <w:szCs w:val="24"/>
        </w:rPr>
        <w:t>Su</w:t>
      </w:r>
      <w:proofErr w:type="spellEnd"/>
      <w:r w:rsidR="00BF7F31">
        <w:rPr>
          <w:szCs w:val="24"/>
        </w:rPr>
        <w:t xml:space="preserve"> 2015).</w:t>
      </w:r>
    </w:p>
    <w:p w14:paraId="17245CC8" w14:textId="2642653B" w:rsidR="00AC1A55" w:rsidRPr="00D60CCA" w:rsidRDefault="00AC1A55" w:rsidP="00AC1A55">
      <w:pPr>
        <w:rPr>
          <w:szCs w:val="24"/>
        </w:rPr>
      </w:pPr>
      <w:r w:rsidRPr="00D60CCA">
        <w:rPr>
          <w:szCs w:val="24"/>
        </w:rPr>
        <w:t>As learning progresses within the phases, distinct clinical skills are drawn together to provide students with the opportunity to lea</w:t>
      </w:r>
      <w:r w:rsidR="00593E27">
        <w:rPr>
          <w:szCs w:val="24"/>
        </w:rPr>
        <w:t xml:space="preserve">rn within simulated scenarios. </w:t>
      </w:r>
      <w:r w:rsidRPr="00D60CCA">
        <w:rPr>
          <w:szCs w:val="24"/>
        </w:rPr>
        <w:t>Simulations are designed to reflect ‘real world’ conditions in a variety of health care settings and provide opportunities to develop cognitive, technical and communication skills</w:t>
      </w:r>
      <w:r w:rsidR="00BF7F31">
        <w:rPr>
          <w:szCs w:val="24"/>
        </w:rPr>
        <w:t xml:space="preserve"> required for a Diploma graduate (</w:t>
      </w:r>
      <w:r w:rsidR="00BF7F31" w:rsidRPr="00056D8E">
        <w:rPr>
          <w:color w:val="auto"/>
          <w:szCs w:val="24"/>
        </w:rPr>
        <w:t>A</w:t>
      </w:r>
      <w:r w:rsidR="00BF7F31">
        <w:rPr>
          <w:color w:val="auto"/>
          <w:szCs w:val="24"/>
        </w:rPr>
        <w:t xml:space="preserve">ustralian </w:t>
      </w:r>
      <w:r w:rsidR="00BF7F31" w:rsidRPr="00056D8E">
        <w:rPr>
          <w:color w:val="auto"/>
          <w:szCs w:val="24"/>
        </w:rPr>
        <w:t>Q</w:t>
      </w:r>
      <w:r w:rsidR="00BF7F31">
        <w:rPr>
          <w:color w:val="auto"/>
          <w:szCs w:val="24"/>
        </w:rPr>
        <w:t xml:space="preserve">ualifications </w:t>
      </w:r>
      <w:r w:rsidR="00BF7F31" w:rsidRPr="00056D8E">
        <w:rPr>
          <w:color w:val="auto"/>
          <w:szCs w:val="24"/>
        </w:rPr>
        <w:t>F</w:t>
      </w:r>
      <w:r w:rsidR="00BF7F31">
        <w:rPr>
          <w:color w:val="auto"/>
          <w:szCs w:val="24"/>
        </w:rPr>
        <w:t>ramework Council 2013)</w:t>
      </w:r>
      <w:r w:rsidR="00593E27">
        <w:rPr>
          <w:szCs w:val="24"/>
        </w:rPr>
        <w:t xml:space="preserve">. </w:t>
      </w:r>
      <w:r w:rsidRPr="00D60CCA">
        <w:rPr>
          <w:szCs w:val="24"/>
        </w:rPr>
        <w:t>Simulated scenarios are designed to allow students to engage with the Clinical Reasoning Cycle in order to encourage deeper levels of learning</w:t>
      </w:r>
      <w:r w:rsidR="00A557CC">
        <w:rPr>
          <w:szCs w:val="24"/>
        </w:rPr>
        <w:t xml:space="preserve"> </w:t>
      </w:r>
      <w:r w:rsidR="00A557CC" w:rsidRPr="00BF7F31">
        <w:rPr>
          <w:szCs w:val="24"/>
        </w:rPr>
        <w:t>(</w:t>
      </w:r>
      <w:proofErr w:type="spellStart"/>
      <w:r w:rsidR="00A557CC" w:rsidRPr="00BF7F31">
        <w:rPr>
          <w:szCs w:val="24"/>
        </w:rPr>
        <w:t>Levett</w:t>
      </w:r>
      <w:proofErr w:type="spellEnd"/>
      <w:r w:rsidR="00A557CC" w:rsidRPr="00BF7F31">
        <w:rPr>
          <w:szCs w:val="24"/>
        </w:rPr>
        <w:t>-Jones ed. 2013).</w:t>
      </w:r>
      <w:r w:rsidR="00A557CC" w:rsidRPr="00D60CCA">
        <w:rPr>
          <w:szCs w:val="24"/>
        </w:rPr>
        <w:t xml:space="preserve"> </w:t>
      </w:r>
      <w:r w:rsidRPr="00D60CCA">
        <w:rPr>
          <w:szCs w:val="24"/>
        </w:rPr>
        <w:t xml:space="preserve">Simulated scenarios </w:t>
      </w:r>
      <w:r>
        <w:rPr>
          <w:szCs w:val="24"/>
        </w:rPr>
        <w:t xml:space="preserve">are </w:t>
      </w:r>
      <w:r w:rsidRPr="00D60CCA">
        <w:rPr>
          <w:szCs w:val="24"/>
        </w:rPr>
        <w:t>used to monitor students learning towards achieving stated learning outcomes</w:t>
      </w:r>
      <w:r>
        <w:rPr>
          <w:szCs w:val="24"/>
        </w:rPr>
        <w:t xml:space="preserve"> through a collaborative learning process utilis</w:t>
      </w:r>
      <w:r w:rsidR="00593E27">
        <w:rPr>
          <w:szCs w:val="24"/>
        </w:rPr>
        <w:t xml:space="preserve">ing peer and teacher feedback. </w:t>
      </w:r>
      <w:r w:rsidRPr="00D60CCA">
        <w:rPr>
          <w:szCs w:val="24"/>
        </w:rPr>
        <w:t xml:space="preserve">Simulated scenarios are used as a process to determine achievement of performance against unit outcomes and also to determine readiness for Professional Experience.  </w:t>
      </w:r>
    </w:p>
    <w:p w14:paraId="28A2E1E5" w14:textId="77777777" w:rsidR="00127137" w:rsidRDefault="00127137" w:rsidP="00AC1A55">
      <w:pPr>
        <w:rPr>
          <w:b/>
          <w:color w:val="auto"/>
          <w:szCs w:val="24"/>
        </w:rPr>
      </w:pPr>
    </w:p>
    <w:p w14:paraId="53B0D881" w14:textId="77777777" w:rsidR="00B66383" w:rsidRDefault="00B66383">
      <w:pPr>
        <w:spacing w:after="200" w:line="276" w:lineRule="auto"/>
        <w:rPr>
          <w:b/>
          <w:color w:val="auto"/>
          <w:szCs w:val="24"/>
        </w:rPr>
      </w:pPr>
      <w:r>
        <w:rPr>
          <w:b/>
          <w:color w:val="auto"/>
          <w:szCs w:val="24"/>
        </w:rPr>
        <w:br w:type="page"/>
      </w:r>
    </w:p>
    <w:p w14:paraId="69080FAA" w14:textId="4F5A3BB1" w:rsidR="00AC1A55" w:rsidRPr="00B11EA1" w:rsidRDefault="00593E27" w:rsidP="00AC1A55">
      <w:pPr>
        <w:rPr>
          <w:b/>
          <w:color w:val="auto"/>
          <w:szCs w:val="24"/>
        </w:rPr>
      </w:pPr>
      <w:r w:rsidRPr="00B11EA1">
        <w:rPr>
          <w:b/>
          <w:color w:val="auto"/>
          <w:szCs w:val="24"/>
        </w:rPr>
        <w:lastRenderedPageBreak/>
        <w:t>References</w:t>
      </w:r>
    </w:p>
    <w:p w14:paraId="67E08EBC" w14:textId="30674BA9" w:rsidR="0017491A" w:rsidRPr="00B11EA1" w:rsidRDefault="0017491A" w:rsidP="00B66383">
      <w:pPr>
        <w:spacing w:line="240" w:lineRule="auto"/>
      </w:pPr>
      <w:r w:rsidRPr="00B11EA1">
        <w:t>Australian Commission on Sa</w:t>
      </w:r>
      <w:r w:rsidR="00BF7F31">
        <w:t>fety and Quality in Health Care</w:t>
      </w:r>
      <w:r w:rsidRPr="00B11EA1">
        <w:t xml:space="preserve"> 2017 NSQHS Standards, National model clinical governance framework. Australian Commission on Safety and Quality in Health Care, Sydney.</w:t>
      </w:r>
    </w:p>
    <w:p w14:paraId="0054BCC7" w14:textId="77777777" w:rsidR="0017491A" w:rsidRPr="00056D8E" w:rsidRDefault="0017491A" w:rsidP="00B66383">
      <w:pPr>
        <w:spacing w:line="240" w:lineRule="auto"/>
      </w:pPr>
      <w:r w:rsidRPr="00056D8E">
        <w:t>A</w:t>
      </w:r>
      <w:r>
        <w:t xml:space="preserve">ustralian </w:t>
      </w:r>
      <w:r w:rsidRPr="00056D8E">
        <w:t>Q</w:t>
      </w:r>
      <w:r>
        <w:t xml:space="preserve">ualifications </w:t>
      </w:r>
      <w:r w:rsidRPr="00056D8E">
        <w:t>F</w:t>
      </w:r>
      <w:r>
        <w:t xml:space="preserve">ramework Council 2013, </w:t>
      </w:r>
      <w:r w:rsidRPr="00056D8E">
        <w:rPr>
          <w:i/>
        </w:rPr>
        <w:t>Australian Qualifications Framework</w:t>
      </w:r>
      <w:r>
        <w:t>, South Australia, viewed 27 May 2019, &lt;</w:t>
      </w:r>
      <w:hyperlink r:id="rId13" w:history="1">
        <w:r w:rsidRPr="00056D8E">
          <w:rPr>
            <w:rStyle w:val="Hyperlink"/>
            <w:color w:val="auto"/>
            <w:u w:val="none"/>
          </w:rPr>
          <w:t>https://www.aqf.edu.au/sites/aqf/files/aqf-2nd-edition-january-2013.pdf</w:t>
        </w:r>
      </w:hyperlink>
      <w:r>
        <w:t>&gt;</w:t>
      </w:r>
    </w:p>
    <w:p w14:paraId="77F1D781" w14:textId="4FDA1319" w:rsidR="000D3ACC" w:rsidRPr="00B631D7" w:rsidRDefault="000D3ACC" w:rsidP="00B66383">
      <w:pPr>
        <w:spacing w:line="240" w:lineRule="auto"/>
        <w:rPr>
          <w:rStyle w:val="Hyperlink"/>
          <w:color w:val="auto"/>
          <w:szCs w:val="24"/>
          <w:u w:val="none"/>
        </w:rPr>
      </w:pPr>
      <w:r>
        <w:rPr>
          <w:rStyle w:val="Hyperlink"/>
          <w:color w:val="auto"/>
          <w:szCs w:val="24"/>
          <w:u w:val="none"/>
        </w:rPr>
        <w:t xml:space="preserve">Flipped </w:t>
      </w:r>
      <w:r w:rsidR="00B40785">
        <w:rPr>
          <w:rStyle w:val="Hyperlink"/>
          <w:color w:val="auto"/>
          <w:szCs w:val="24"/>
          <w:u w:val="none"/>
        </w:rPr>
        <w:t xml:space="preserve">Learning Network 2014. </w:t>
      </w:r>
      <w:r w:rsidR="00066FC5">
        <w:rPr>
          <w:rStyle w:val="Hyperlink"/>
          <w:color w:val="auto"/>
          <w:szCs w:val="24"/>
          <w:u w:val="none"/>
        </w:rPr>
        <w:t>The Four Pillars of F-L-I-P</w:t>
      </w:r>
      <w:r w:rsidR="00B631D7" w:rsidRPr="00B631D7">
        <w:rPr>
          <w:rStyle w:val="Hyperlink"/>
          <w:color w:val="auto"/>
          <w:szCs w:val="24"/>
          <w:u w:val="none"/>
          <w:vertAlign w:val="superscript"/>
        </w:rPr>
        <w:t>TM</w:t>
      </w:r>
      <w:r w:rsidR="00B631D7">
        <w:rPr>
          <w:rStyle w:val="Hyperlink"/>
          <w:color w:val="auto"/>
          <w:szCs w:val="24"/>
          <w:u w:val="none"/>
          <w:vertAlign w:val="superscript"/>
        </w:rPr>
        <w:t xml:space="preserve"> </w:t>
      </w:r>
      <w:r w:rsidR="00FC25A4">
        <w:rPr>
          <w:rStyle w:val="Hyperlink"/>
          <w:color w:val="auto"/>
          <w:szCs w:val="24"/>
          <w:u w:val="none"/>
        </w:rPr>
        <w:t xml:space="preserve">viewed </w:t>
      </w:r>
      <w:r w:rsidR="000B26B2">
        <w:rPr>
          <w:rStyle w:val="Hyperlink"/>
          <w:color w:val="auto"/>
          <w:szCs w:val="24"/>
          <w:u w:val="none"/>
        </w:rPr>
        <w:t>18 January 2021, &lt;</w:t>
      </w:r>
      <w:r w:rsidR="00FA4E5B">
        <w:rPr>
          <w:rStyle w:val="Hyperlink"/>
          <w:color w:val="auto"/>
          <w:szCs w:val="24"/>
          <w:u w:val="none"/>
        </w:rPr>
        <w:t>https://www.flippedlearning.org&gt;</w:t>
      </w:r>
    </w:p>
    <w:p w14:paraId="5B9C5D5E" w14:textId="39B53653" w:rsidR="0017491A" w:rsidRPr="00056D8E" w:rsidRDefault="0017491A" w:rsidP="00B66383">
      <w:pPr>
        <w:spacing w:line="240" w:lineRule="auto"/>
      </w:pPr>
      <w:r>
        <w:rPr>
          <w:rStyle w:val="Hyperlink"/>
          <w:color w:val="auto"/>
          <w:szCs w:val="24"/>
          <w:u w:val="none"/>
        </w:rPr>
        <w:t xml:space="preserve">Industry Skills Council 2015, </w:t>
      </w:r>
      <w:r w:rsidRPr="0017491A">
        <w:rPr>
          <w:rStyle w:val="Hyperlink"/>
          <w:i/>
          <w:color w:val="auto"/>
          <w:szCs w:val="24"/>
          <w:u w:val="none"/>
        </w:rPr>
        <w:t>HLT54115 Diploma of Nursing</w:t>
      </w:r>
      <w:r>
        <w:rPr>
          <w:rStyle w:val="Hyperlink"/>
          <w:color w:val="auto"/>
          <w:szCs w:val="24"/>
          <w:u w:val="none"/>
        </w:rPr>
        <w:t>, Canberra, viewed 72 May 2019, &lt;</w:t>
      </w:r>
      <w:hyperlink r:id="rId14" w:history="1">
        <w:r w:rsidRPr="0017491A">
          <w:rPr>
            <w:rStyle w:val="Hyperlink"/>
            <w:color w:val="auto"/>
            <w:szCs w:val="24"/>
            <w:u w:val="none"/>
          </w:rPr>
          <w:t>https://training.gov.au/Training/Details/HLT54115</w:t>
        </w:r>
      </w:hyperlink>
      <w:r w:rsidRPr="0017491A">
        <w:rPr>
          <w:rStyle w:val="Hyperlink"/>
          <w:color w:val="auto"/>
          <w:szCs w:val="24"/>
          <w:u w:val="none"/>
        </w:rPr>
        <w:t>&gt;</w:t>
      </w:r>
    </w:p>
    <w:p w14:paraId="29CD8B75" w14:textId="6CC4170D" w:rsidR="007A3667" w:rsidRPr="000D34B5" w:rsidRDefault="007A3667" w:rsidP="00B66383">
      <w:pPr>
        <w:spacing w:line="240" w:lineRule="auto"/>
        <w:rPr>
          <w:rStyle w:val="citation-authors"/>
          <w:rFonts w:cs="Arial"/>
          <w:color w:val="auto"/>
          <w:szCs w:val="24"/>
          <w:shd w:val="clear" w:color="auto" w:fill="FFFFFF"/>
        </w:rPr>
      </w:pPr>
      <w:r>
        <w:rPr>
          <w:rStyle w:val="citation-authors"/>
          <w:rFonts w:cs="Arial"/>
          <w:color w:val="auto"/>
          <w:szCs w:val="24"/>
          <w:shd w:val="clear" w:color="auto" w:fill="FFFFFF"/>
        </w:rPr>
        <w:t xml:space="preserve">Kim, </w:t>
      </w:r>
      <w:r w:rsidR="00BE4057">
        <w:rPr>
          <w:rStyle w:val="citation-authors"/>
          <w:rFonts w:cs="Arial"/>
          <w:color w:val="auto"/>
          <w:szCs w:val="24"/>
          <w:shd w:val="clear" w:color="auto" w:fill="FFFFFF"/>
        </w:rPr>
        <w:t xml:space="preserve">M, Jung, E, de </w:t>
      </w:r>
      <w:proofErr w:type="spellStart"/>
      <w:r w:rsidR="00BE4057">
        <w:rPr>
          <w:rStyle w:val="citation-authors"/>
          <w:rFonts w:cs="Arial"/>
          <w:color w:val="auto"/>
          <w:szCs w:val="24"/>
          <w:shd w:val="clear" w:color="auto" w:fill="FFFFFF"/>
        </w:rPr>
        <w:t>Seq</w:t>
      </w:r>
      <w:r w:rsidR="00AD7B70">
        <w:rPr>
          <w:rStyle w:val="citation-authors"/>
          <w:rFonts w:cs="Arial"/>
          <w:color w:val="auto"/>
          <w:szCs w:val="24"/>
          <w:shd w:val="clear" w:color="auto" w:fill="FFFFFF"/>
        </w:rPr>
        <w:t>ueira</w:t>
      </w:r>
      <w:proofErr w:type="spellEnd"/>
      <w:r w:rsidR="00AD7B70">
        <w:rPr>
          <w:rStyle w:val="citation-authors"/>
          <w:rFonts w:cs="Arial"/>
          <w:color w:val="auto"/>
          <w:szCs w:val="24"/>
          <w:shd w:val="clear" w:color="auto" w:fill="FFFFFF"/>
        </w:rPr>
        <w:t>, A &amp; Huber, L</w:t>
      </w:r>
      <w:r w:rsidR="00F54D75">
        <w:rPr>
          <w:rStyle w:val="citation-authors"/>
          <w:rFonts w:cs="Arial"/>
          <w:color w:val="auto"/>
          <w:szCs w:val="24"/>
          <w:shd w:val="clear" w:color="auto" w:fill="FFFFFF"/>
        </w:rPr>
        <w:t xml:space="preserve">, 2016. </w:t>
      </w:r>
      <w:r w:rsidR="00762CD4">
        <w:rPr>
          <w:rStyle w:val="citation-authors"/>
          <w:rFonts w:cs="Arial"/>
          <w:color w:val="auto"/>
          <w:szCs w:val="24"/>
          <w:shd w:val="clear" w:color="auto" w:fill="FFFFFF"/>
        </w:rPr>
        <w:t>‘</w:t>
      </w:r>
      <w:r w:rsidR="00F54D75">
        <w:rPr>
          <w:rStyle w:val="citation-authors"/>
          <w:rFonts w:cs="Arial"/>
          <w:color w:val="auto"/>
          <w:szCs w:val="24"/>
          <w:shd w:val="clear" w:color="auto" w:fill="FFFFFF"/>
        </w:rPr>
        <w:t>An investigation into the effective pedagogies</w:t>
      </w:r>
      <w:r w:rsidR="00762CD4">
        <w:rPr>
          <w:rStyle w:val="citation-authors"/>
          <w:rFonts w:cs="Arial"/>
          <w:color w:val="auto"/>
          <w:szCs w:val="24"/>
          <w:shd w:val="clear" w:color="auto" w:fill="FFFFFF"/>
        </w:rPr>
        <w:t xml:space="preserve"> in a Flipped Classroom: A case study’, </w:t>
      </w:r>
      <w:r w:rsidR="000D34B5">
        <w:rPr>
          <w:rStyle w:val="citation-authors"/>
          <w:rFonts w:cs="Arial"/>
          <w:i/>
          <w:iCs/>
          <w:color w:val="auto"/>
          <w:szCs w:val="24"/>
          <w:shd w:val="clear" w:color="auto" w:fill="FFFFFF"/>
        </w:rPr>
        <w:t>International Journal of E-Learning and Distance Education,</w:t>
      </w:r>
      <w:r w:rsidR="00376F91">
        <w:rPr>
          <w:rStyle w:val="citation-authors"/>
          <w:rFonts w:cs="Arial"/>
          <w:color w:val="auto"/>
          <w:szCs w:val="24"/>
          <w:shd w:val="clear" w:color="auto" w:fill="FFFFFF"/>
        </w:rPr>
        <w:t xml:space="preserve"> vol. 32, no.2, pp.</w:t>
      </w:r>
      <w:r w:rsidR="002845D0">
        <w:rPr>
          <w:rStyle w:val="citation-authors"/>
          <w:rFonts w:cs="Arial"/>
          <w:color w:val="auto"/>
          <w:szCs w:val="24"/>
          <w:shd w:val="clear" w:color="auto" w:fill="FFFFFF"/>
        </w:rPr>
        <w:t xml:space="preserve"> 1-15</w:t>
      </w:r>
      <w:r w:rsidR="000D3ACC">
        <w:rPr>
          <w:rStyle w:val="citation-authors"/>
          <w:rFonts w:cs="Arial"/>
          <w:color w:val="auto"/>
          <w:szCs w:val="24"/>
          <w:shd w:val="clear" w:color="auto" w:fill="FFFFFF"/>
        </w:rPr>
        <w:t>.</w:t>
      </w:r>
    </w:p>
    <w:p w14:paraId="5416C567" w14:textId="539582F3" w:rsidR="0017491A" w:rsidRPr="00B11EA1" w:rsidRDefault="0017491A" w:rsidP="00B66383">
      <w:pPr>
        <w:spacing w:line="240" w:lineRule="auto"/>
      </w:pPr>
      <w:proofErr w:type="spellStart"/>
      <w:r w:rsidRPr="00B11EA1">
        <w:rPr>
          <w:rStyle w:val="citation-authors"/>
          <w:rFonts w:cs="Arial"/>
          <w:color w:val="auto"/>
          <w:szCs w:val="24"/>
          <w:shd w:val="clear" w:color="auto" w:fill="FFFFFF"/>
        </w:rPr>
        <w:t>Koutoukidis</w:t>
      </w:r>
      <w:proofErr w:type="spellEnd"/>
      <w:r w:rsidRPr="00B11EA1">
        <w:rPr>
          <w:rStyle w:val="citation-authors"/>
          <w:rFonts w:cs="Arial"/>
          <w:color w:val="auto"/>
          <w:szCs w:val="24"/>
          <w:shd w:val="clear" w:color="auto" w:fill="FFFFFF"/>
        </w:rPr>
        <w:t>, G &amp; Stainton, K</w:t>
      </w:r>
      <w:r w:rsidRPr="00B11EA1">
        <w:rPr>
          <w:rFonts w:cs="Arial"/>
          <w:shd w:val="clear" w:color="auto" w:fill="FFFFFF"/>
        </w:rPr>
        <w:t> </w:t>
      </w:r>
      <w:r w:rsidRPr="00B11EA1">
        <w:rPr>
          <w:rStyle w:val="citation-year"/>
          <w:rFonts w:cs="Arial"/>
          <w:color w:val="auto"/>
          <w:szCs w:val="24"/>
          <w:shd w:val="clear" w:color="auto" w:fill="FFFFFF"/>
        </w:rPr>
        <w:t>2017</w:t>
      </w:r>
      <w:r w:rsidRPr="00B11EA1">
        <w:rPr>
          <w:rFonts w:cs="Arial"/>
          <w:shd w:val="clear" w:color="auto" w:fill="FFFFFF"/>
        </w:rPr>
        <w:t>, </w:t>
      </w:r>
      <w:r w:rsidRPr="00B11EA1">
        <w:rPr>
          <w:rStyle w:val="Emphasis"/>
          <w:rFonts w:cs="Arial"/>
          <w:color w:val="auto"/>
          <w:szCs w:val="24"/>
          <w:shd w:val="clear" w:color="auto" w:fill="FFFFFF"/>
        </w:rPr>
        <w:t>Essential enrolled nursing skills for person-centred care</w:t>
      </w:r>
      <w:r w:rsidRPr="00B11EA1">
        <w:rPr>
          <w:rFonts w:cs="Arial"/>
          <w:shd w:val="clear" w:color="auto" w:fill="FFFFFF"/>
        </w:rPr>
        <w:t>, </w:t>
      </w:r>
      <w:r w:rsidRPr="00B11EA1">
        <w:rPr>
          <w:rStyle w:val="citation-publisher"/>
          <w:rFonts w:cs="Arial"/>
          <w:color w:val="auto"/>
          <w:szCs w:val="24"/>
          <w:shd w:val="clear" w:color="auto" w:fill="FFFFFF"/>
        </w:rPr>
        <w:t>Elsevier Australia</w:t>
      </w:r>
      <w:r w:rsidRPr="00B11EA1">
        <w:rPr>
          <w:rFonts w:cs="Arial"/>
          <w:shd w:val="clear" w:color="auto" w:fill="FFFFFF"/>
        </w:rPr>
        <w:t>, </w:t>
      </w:r>
      <w:r w:rsidRPr="00B11EA1">
        <w:rPr>
          <w:rStyle w:val="citation-location"/>
          <w:rFonts w:cs="Arial"/>
          <w:color w:val="auto"/>
          <w:szCs w:val="24"/>
          <w:shd w:val="clear" w:color="auto" w:fill="FFFFFF"/>
        </w:rPr>
        <w:t>Chatswood, NSW</w:t>
      </w:r>
      <w:r w:rsidRPr="00B11EA1">
        <w:rPr>
          <w:rFonts w:cs="Arial"/>
          <w:shd w:val="clear" w:color="auto" w:fill="FFFFFF"/>
        </w:rPr>
        <w:t>.</w:t>
      </w:r>
    </w:p>
    <w:p w14:paraId="68034D93" w14:textId="77777777" w:rsidR="0017491A" w:rsidRDefault="0017491A" w:rsidP="00B66383">
      <w:pPr>
        <w:spacing w:line="240" w:lineRule="auto"/>
      </w:pPr>
      <w:proofErr w:type="spellStart"/>
      <w:r w:rsidRPr="00056D8E">
        <w:rPr>
          <w:rStyle w:val="citation-author"/>
          <w:rFonts w:cs="Arial"/>
          <w:color w:val="auto"/>
          <w:szCs w:val="24"/>
          <w:shd w:val="clear" w:color="auto" w:fill="FFFFFF"/>
        </w:rPr>
        <w:t>Levett</w:t>
      </w:r>
      <w:proofErr w:type="spellEnd"/>
      <w:r w:rsidRPr="00056D8E">
        <w:rPr>
          <w:rStyle w:val="citation-author"/>
          <w:rFonts w:cs="Arial"/>
          <w:color w:val="auto"/>
          <w:szCs w:val="24"/>
          <w:shd w:val="clear" w:color="auto" w:fill="FFFFFF"/>
        </w:rPr>
        <w:t>-Jones, T</w:t>
      </w:r>
      <w:r w:rsidRPr="00056D8E">
        <w:rPr>
          <w:rFonts w:cs="Arial"/>
          <w:shd w:val="clear" w:color="auto" w:fill="FFFFFF"/>
        </w:rPr>
        <w:t> (</w:t>
      </w:r>
      <w:r w:rsidRPr="00056D8E">
        <w:rPr>
          <w:rStyle w:val="citation-role"/>
          <w:rFonts w:cs="Arial"/>
          <w:color w:val="auto"/>
          <w:szCs w:val="24"/>
          <w:shd w:val="clear" w:color="auto" w:fill="FFFFFF"/>
        </w:rPr>
        <w:t>Ed.</w:t>
      </w:r>
      <w:r w:rsidRPr="00056D8E">
        <w:rPr>
          <w:rFonts w:cs="Arial"/>
          <w:shd w:val="clear" w:color="auto" w:fill="FFFFFF"/>
        </w:rPr>
        <w:t>) </w:t>
      </w:r>
      <w:r w:rsidRPr="00056D8E">
        <w:rPr>
          <w:rStyle w:val="citation-year"/>
          <w:rFonts w:cs="Arial"/>
          <w:color w:val="auto"/>
          <w:szCs w:val="24"/>
          <w:shd w:val="clear" w:color="auto" w:fill="FFFFFF"/>
        </w:rPr>
        <w:t>2013</w:t>
      </w:r>
      <w:r w:rsidRPr="00056D8E">
        <w:rPr>
          <w:rFonts w:cs="Arial"/>
          <w:shd w:val="clear" w:color="auto" w:fill="FFFFFF"/>
        </w:rPr>
        <w:t>, </w:t>
      </w:r>
      <w:r>
        <w:rPr>
          <w:rStyle w:val="Emphasis"/>
          <w:rFonts w:cs="Arial"/>
          <w:color w:val="auto"/>
          <w:szCs w:val="24"/>
          <w:shd w:val="clear" w:color="auto" w:fill="FFFFFF"/>
        </w:rPr>
        <w:t>Clinical reasoning</w:t>
      </w:r>
      <w:r w:rsidRPr="00056D8E">
        <w:rPr>
          <w:rStyle w:val="Emphasis"/>
          <w:rFonts w:cs="Arial"/>
          <w:color w:val="auto"/>
          <w:szCs w:val="24"/>
          <w:shd w:val="clear" w:color="auto" w:fill="FFFFFF"/>
        </w:rPr>
        <w:t>: learning to think like a nurse</w:t>
      </w:r>
      <w:r w:rsidRPr="00056D8E">
        <w:rPr>
          <w:rFonts w:cs="Arial"/>
          <w:shd w:val="clear" w:color="auto" w:fill="FFFFFF"/>
        </w:rPr>
        <w:t>, </w:t>
      </w:r>
      <w:r w:rsidRPr="00056D8E">
        <w:rPr>
          <w:rStyle w:val="citation-publisher"/>
          <w:rFonts w:cs="Arial"/>
          <w:color w:val="auto"/>
          <w:szCs w:val="24"/>
          <w:shd w:val="clear" w:color="auto" w:fill="FFFFFF"/>
        </w:rPr>
        <w:t>Pearson Australia</w:t>
      </w:r>
      <w:r w:rsidRPr="00056D8E">
        <w:rPr>
          <w:rFonts w:cs="Arial"/>
          <w:shd w:val="clear" w:color="auto" w:fill="FFFFFF"/>
        </w:rPr>
        <w:t>, </w:t>
      </w:r>
      <w:r w:rsidRPr="00056D8E">
        <w:rPr>
          <w:rStyle w:val="citation-location"/>
          <w:rFonts w:cs="Arial"/>
          <w:color w:val="auto"/>
          <w:szCs w:val="24"/>
          <w:shd w:val="clear" w:color="auto" w:fill="FFFFFF"/>
        </w:rPr>
        <w:t>Frenchs Forest, N.S.W.</w:t>
      </w:r>
      <w:r w:rsidRPr="0017491A">
        <w:t xml:space="preserve"> </w:t>
      </w:r>
    </w:p>
    <w:p w14:paraId="0449B85A" w14:textId="61C3F972" w:rsidR="0017491A" w:rsidRPr="00B11EA1" w:rsidRDefault="0017491A" w:rsidP="00B66383">
      <w:pPr>
        <w:spacing w:line="240" w:lineRule="auto"/>
        <w:rPr>
          <w:rFonts w:cs="AdvGulliv-R"/>
        </w:rPr>
      </w:pPr>
      <w:proofErr w:type="spellStart"/>
      <w:r w:rsidRPr="00B11EA1">
        <w:t>Levett</w:t>
      </w:r>
      <w:proofErr w:type="spellEnd"/>
      <w:r w:rsidRPr="00B11EA1">
        <w:t xml:space="preserve">-Jones, T, Hoffman, K, Dempsey, J, </w:t>
      </w:r>
      <w:proofErr w:type="spellStart"/>
      <w:r w:rsidRPr="00B11EA1">
        <w:t>Jeong</w:t>
      </w:r>
      <w:proofErr w:type="spellEnd"/>
      <w:r w:rsidRPr="00B11EA1">
        <w:t>, S.Y &amp; Noble, D, 2012, ‘</w:t>
      </w:r>
      <w:r w:rsidRPr="00B11EA1">
        <w:rPr>
          <w:rFonts w:cs="AdvGulliv-R"/>
        </w:rPr>
        <w:t xml:space="preserve">The ‘five rights’ of clinical reasoning: An educational model to enhance nursing students’ ability to identify and manage clinically ‘at risk’ patients’. </w:t>
      </w:r>
      <w:r w:rsidRPr="00B11EA1">
        <w:rPr>
          <w:rFonts w:cs="AdvGulliv-R"/>
          <w:i/>
        </w:rPr>
        <w:t>Nurse Education Today,</w:t>
      </w:r>
      <w:r w:rsidRPr="00B11EA1">
        <w:rPr>
          <w:rFonts w:cs="AdvGulliv-R"/>
        </w:rPr>
        <w:t xml:space="preserve"> vol. 30, no. 6, pp. 515–520, viewed 14 May 2019, JSTOR Arts and Sciences IV, Springer. </w:t>
      </w:r>
    </w:p>
    <w:p w14:paraId="527D1299" w14:textId="77777777" w:rsidR="0017491A" w:rsidRPr="00B11EA1" w:rsidRDefault="0017491A" w:rsidP="00B66383">
      <w:pPr>
        <w:spacing w:line="240" w:lineRule="auto"/>
      </w:pPr>
      <w:r w:rsidRPr="00B11EA1">
        <w:t>Nursing and Midwifery Board of Australia. 2013. Nursing practice decisions summary guide (DMF) https://www.nursingmidwiferyboard.gov.au/Codes-Guidelines-Statements/Frameworks.aspx</w:t>
      </w:r>
    </w:p>
    <w:p w14:paraId="578584F5" w14:textId="77777777" w:rsidR="00A557CC" w:rsidRPr="00B11EA1" w:rsidRDefault="00A557CC" w:rsidP="00B66383">
      <w:pPr>
        <w:spacing w:line="240" w:lineRule="auto"/>
        <w:rPr>
          <w:rFonts w:cs="Arial"/>
        </w:rPr>
      </w:pPr>
      <w:r w:rsidRPr="00056D8E">
        <w:rPr>
          <w:rStyle w:val="citation-authoring-body"/>
          <w:rFonts w:cs="Arial"/>
        </w:rPr>
        <w:t>Nursing and Midwifery Board of Australia</w:t>
      </w:r>
      <w:r w:rsidRPr="00056D8E">
        <w:rPr>
          <w:rFonts w:cs="Arial"/>
        </w:rPr>
        <w:t> </w:t>
      </w:r>
      <w:r w:rsidRPr="00056D8E">
        <w:rPr>
          <w:rStyle w:val="citation-year-of-posting"/>
          <w:rFonts w:eastAsiaTheme="majorEastAsia" w:cs="Arial"/>
        </w:rPr>
        <w:t>2017</w:t>
      </w:r>
      <w:r w:rsidRPr="00056D8E">
        <w:rPr>
          <w:rFonts w:cs="Arial"/>
        </w:rPr>
        <w:t>, </w:t>
      </w:r>
      <w:r w:rsidRPr="00056D8E">
        <w:rPr>
          <w:rStyle w:val="Emphasis"/>
          <w:rFonts w:eastAsiaTheme="majorEastAsia" w:cs="Arial"/>
        </w:rPr>
        <w:t>Enrolled nurse standards for practice</w:t>
      </w:r>
      <w:r w:rsidRPr="00056D8E">
        <w:rPr>
          <w:rFonts w:cs="Arial"/>
        </w:rPr>
        <w:t>, </w:t>
      </w:r>
      <w:r w:rsidRPr="00056D8E">
        <w:rPr>
          <w:rStyle w:val="citation-location"/>
          <w:rFonts w:eastAsiaTheme="majorEastAsia" w:cs="Arial"/>
        </w:rPr>
        <w:t>Melbourne</w:t>
      </w:r>
      <w:r w:rsidRPr="00056D8E">
        <w:rPr>
          <w:rFonts w:cs="Arial"/>
        </w:rPr>
        <w:t>, viewed </w:t>
      </w:r>
      <w:r w:rsidRPr="00056D8E">
        <w:rPr>
          <w:rStyle w:val="citation-date-accessed"/>
          <w:rFonts w:eastAsiaTheme="majorEastAsia" w:cs="Arial"/>
        </w:rPr>
        <w:t>27 May 2019</w:t>
      </w:r>
      <w:r w:rsidRPr="00056D8E">
        <w:rPr>
          <w:rFonts w:cs="Arial"/>
        </w:rPr>
        <w:t>, &lt;</w:t>
      </w:r>
      <w:r w:rsidRPr="00056D8E">
        <w:rPr>
          <w:rStyle w:val="citation-url"/>
          <w:rFonts w:eastAsiaTheme="majorEastAsia" w:cs="Arial"/>
        </w:rPr>
        <w:t>https://www.nursingmidwiferyboard.gov.au/Codes-Guidelines-Statements/Professional-standards/enrolled-nurse-standards-for-practice.aspx</w:t>
      </w:r>
      <w:r w:rsidRPr="00056D8E">
        <w:rPr>
          <w:rFonts w:cs="Arial"/>
        </w:rPr>
        <w:t>&gt;</w:t>
      </w:r>
    </w:p>
    <w:p w14:paraId="026134CA" w14:textId="469C5ECA" w:rsidR="00A557CC" w:rsidRPr="0017491A" w:rsidRDefault="001A0380" w:rsidP="00B66383">
      <w:pPr>
        <w:spacing w:line="240" w:lineRule="auto"/>
      </w:pPr>
      <w:r w:rsidRPr="0017491A">
        <w:rPr>
          <w:rStyle w:val="citation-author"/>
        </w:rPr>
        <w:t>Peters, M</w:t>
      </w:r>
      <w:r w:rsidRPr="0017491A">
        <w:t> </w:t>
      </w:r>
      <w:r w:rsidRPr="0017491A">
        <w:rPr>
          <w:rStyle w:val="citation-year"/>
        </w:rPr>
        <w:t>2000</w:t>
      </w:r>
      <w:r w:rsidRPr="0017491A">
        <w:t>, ‘</w:t>
      </w:r>
      <w:r w:rsidRPr="0017491A">
        <w:rPr>
          <w:rStyle w:val="citation-title"/>
        </w:rPr>
        <w:t>Does constructivist epistemology have a place for nurse education?</w:t>
      </w:r>
      <w:r w:rsidRPr="0017491A">
        <w:t>’, </w:t>
      </w:r>
      <w:r w:rsidRPr="0017491A">
        <w:rPr>
          <w:rStyle w:val="Emphasis"/>
        </w:rPr>
        <w:t>Journal of nursing education</w:t>
      </w:r>
      <w:r w:rsidRPr="0017491A">
        <w:t>, vol. </w:t>
      </w:r>
      <w:r w:rsidRPr="0017491A">
        <w:rPr>
          <w:rStyle w:val="citation-volume"/>
        </w:rPr>
        <w:t>39</w:t>
      </w:r>
      <w:r w:rsidRPr="0017491A">
        <w:t>, no. </w:t>
      </w:r>
      <w:r w:rsidRPr="0017491A">
        <w:rPr>
          <w:rStyle w:val="citation-issue"/>
        </w:rPr>
        <w:t>4</w:t>
      </w:r>
      <w:r w:rsidRPr="0017491A">
        <w:t>, </w:t>
      </w:r>
      <w:r w:rsidRPr="0017491A">
        <w:rPr>
          <w:rStyle w:val="citation-date"/>
        </w:rPr>
        <w:t>April</w:t>
      </w:r>
      <w:r w:rsidRPr="0017491A">
        <w:t>, pp. </w:t>
      </w:r>
      <w:r w:rsidRPr="0017491A">
        <w:rPr>
          <w:rStyle w:val="citation-start-page"/>
        </w:rPr>
        <w:t>166-172</w:t>
      </w:r>
      <w:r w:rsidRPr="0017491A">
        <w:t>, viewed </w:t>
      </w:r>
      <w:r w:rsidRPr="0017491A">
        <w:rPr>
          <w:rStyle w:val="citation-access-date"/>
        </w:rPr>
        <w:t>14 May 2019</w:t>
      </w:r>
      <w:r w:rsidRPr="0017491A">
        <w:t>, </w:t>
      </w:r>
      <w:r w:rsidRPr="0017491A">
        <w:rPr>
          <w:rStyle w:val="citation-database-title"/>
        </w:rPr>
        <w:t>CINAHL Complete</w:t>
      </w:r>
      <w:r w:rsidRPr="0017491A">
        <w:t>, </w:t>
      </w:r>
      <w:r w:rsidRPr="0017491A">
        <w:rPr>
          <w:rStyle w:val="citation-database-publisher"/>
        </w:rPr>
        <w:t>EBSCOhost</w:t>
      </w:r>
      <w:r w:rsidRPr="0017491A">
        <w:t>.</w:t>
      </w:r>
    </w:p>
    <w:p w14:paraId="04957A15" w14:textId="64DA81FB" w:rsidR="00E20D24" w:rsidRPr="0017491A" w:rsidRDefault="00E20D24" w:rsidP="00B66383">
      <w:pPr>
        <w:spacing w:line="240" w:lineRule="auto"/>
      </w:pPr>
      <w:r w:rsidRPr="0017491A">
        <w:rPr>
          <w:rStyle w:val="citation-author"/>
        </w:rPr>
        <w:t xml:space="preserve">Ross, A, </w:t>
      </w:r>
      <w:proofErr w:type="spellStart"/>
      <w:r w:rsidRPr="0017491A">
        <w:rPr>
          <w:rStyle w:val="citation-author"/>
        </w:rPr>
        <w:t>Noone</w:t>
      </w:r>
      <w:proofErr w:type="spellEnd"/>
      <w:r w:rsidRPr="0017491A">
        <w:rPr>
          <w:rStyle w:val="citation-author"/>
        </w:rPr>
        <w:t xml:space="preserve">, J,  Luce, L &amp; </w:t>
      </w:r>
      <w:proofErr w:type="spellStart"/>
      <w:r w:rsidRPr="0017491A">
        <w:rPr>
          <w:rStyle w:val="citation-author"/>
        </w:rPr>
        <w:t>Sideras</w:t>
      </w:r>
      <w:proofErr w:type="spellEnd"/>
      <w:r w:rsidRPr="0017491A">
        <w:rPr>
          <w:rStyle w:val="citation-author"/>
        </w:rPr>
        <w:t>, S,</w:t>
      </w:r>
      <w:r w:rsidRPr="0017491A">
        <w:t> </w:t>
      </w:r>
      <w:r w:rsidRPr="0017491A">
        <w:rPr>
          <w:rStyle w:val="citation-year"/>
        </w:rPr>
        <w:t>2009</w:t>
      </w:r>
      <w:r w:rsidRPr="0017491A">
        <w:t>, ‘</w:t>
      </w:r>
      <w:proofErr w:type="spellStart"/>
      <w:r w:rsidRPr="0017491A">
        <w:rPr>
          <w:rStyle w:val="citation-title"/>
        </w:rPr>
        <w:t>Spiraling</w:t>
      </w:r>
      <w:proofErr w:type="spellEnd"/>
      <w:r w:rsidRPr="0017491A">
        <w:rPr>
          <w:rStyle w:val="citation-title"/>
        </w:rPr>
        <w:t xml:space="preserve"> evidence-based : practice and outcomes management in an undergraduate curriculum : a systematic approach</w:t>
      </w:r>
      <w:r w:rsidRPr="0017491A">
        <w:t>’, </w:t>
      </w:r>
      <w:r w:rsidRPr="0017491A">
        <w:rPr>
          <w:rStyle w:val="Emphasis"/>
        </w:rPr>
        <w:t>Journal of nursing education</w:t>
      </w:r>
      <w:r w:rsidRPr="0017491A">
        <w:t>, vol. </w:t>
      </w:r>
      <w:r w:rsidRPr="0017491A">
        <w:rPr>
          <w:rStyle w:val="citation-volume"/>
        </w:rPr>
        <w:t>48</w:t>
      </w:r>
      <w:r w:rsidRPr="0017491A">
        <w:t>, no. </w:t>
      </w:r>
      <w:r w:rsidRPr="0017491A">
        <w:rPr>
          <w:rStyle w:val="citation-issue"/>
        </w:rPr>
        <w:t>6</w:t>
      </w:r>
      <w:r w:rsidRPr="0017491A">
        <w:t>, </w:t>
      </w:r>
      <w:r w:rsidRPr="0017491A">
        <w:rPr>
          <w:rStyle w:val="citation-date"/>
        </w:rPr>
        <w:t>August</w:t>
      </w:r>
      <w:r w:rsidRPr="0017491A">
        <w:t>, pp. </w:t>
      </w:r>
      <w:r w:rsidRPr="0017491A">
        <w:rPr>
          <w:rStyle w:val="citation-start-page"/>
        </w:rPr>
        <w:t>319-326</w:t>
      </w:r>
      <w:r w:rsidRPr="0017491A">
        <w:t>, viewed </w:t>
      </w:r>
      <w:r w:rsidRPr="0017491A">
        <w:rPr>
          <w:rStyle w:val="citation-access-date"/>
        </w:rPr>
        <w:t>14 May 2019</w:t>
      </w:r>
      <w:r w:rsidRPr="0017491A">
        <w:t>, </w:t>
      </w:r>
      <w:r w:rsidRPr="0017491A">
        <w:rPr>
          <w:rStyle w:val="citation-database-title"/>
        </w:rPr>
        <w:t>CINAHL Complete</w:t>
      </w:r>
      <w:r w:rsidRPr="0017491A">
        <w:t>, </w:t>
      </w:r>
      <w:r w:rsidRPr="0017491A">
        <w:rPr>
          <w:rStyle w:val="citation-database-publisher"/>
        </w:rPr>
        <w:t>EBSCOhost</w:t>
      </w:r>
      <w:r w:rsidRPr="0017491A">
        <w:t>.</w:t>
      </w:r>
    </w:p>
    <w:p w14:paraId="153C445A" w14:textId="147288FB" w:rsidR="008F4519" w:rsidRDefault="008F4519" w:rsidP="00B66383">
      <w:pPr>
        <w:spacing w:line="240" w:lineRule="auto"/>
      </w:pPr>
      <w:proofErr w:type="spellStart"/>
      <w:r w:rsidRPr="0017491A">
        <w:rPr>
          <w:rStyle w:val="citation-author"/>
        </w:rPr>
        <w:t>Su</w:t>
      </w:r>
      <w:proofErr w:type="spellEnd"/>
      <w:r w:rsidRPr="0017491A">
        <w:rPr>
          <w:rStyle w:val="citation-author"/>
        </w:rPr>
        <w:t>, Y</w:t>
      </w:r>
      <w:r w:rsidRPr="0017491A">
        <w:t> </w:t>
      </w:r>
      <w:r w:rsidRPr="0017491A">
        <w:rPr>
          <w:rStyle w:val="citation-year"/>
        </w:rPr>
        <w:t>2015</w:t>
      </w:r>
      <w:r w:rsidRPr="0017491A">
        <w:t>, ‘</w:t>
      </w:r>
      <w:r w:rsidRPr="0017491A">
        <w:rPr>
          <w:rStyle w:val="citation-title"/>
        </w:rPr>
        <w:t xml:space="preserve">Ensuring the continuance of </w:t>
      </w:r>
      <w:proofErr w:type="gramStart"/>
      <w:r w:rsidRPr="0017491A">
        <w:rPr>
          <w:rStyle w:val="citation-title"/>
        </w:rPr>
        <w:t>learning :</w:t>
      </w:r>
      <w:proofErr w:type="gramEnd"/>
      <w:r w:rsidRPr="0017491A">
        <w:rPr>
          <w:rStyle w:val="citation-title"/>
        </w:rPr>
        <w:t xml:space="preserve"> the role of assessment for life-long learning</w:t>
      </w:r>
      <w:r w:rsidRPr="0017491A">
        <w:t>’, </w:t>
      </w:r>
      <w:r w:rsidRPr="0017491A">
        <w:rPr>
          <w:rStyle w:val="Emphasis"/>
        </w:rPr>
        <w:t>International review of education</w:t>
      </w:r>
      <w:r w:rsidRPr="0017491A">
        <w:t>, vol. </w:t>
      </w:r>
      <w:r w:rsidRPr="0017491A">
        <w:rPr>
          <w:rStyle w:val="citation-volume"/>
        </w:rPr>
        <w:t>61</w:t>
      </w:r>
      <w:r w:rsidRPr="0017491A">
        <w:t>, no. </w:t>
      </w:r>
      <w:r w:rsidRPr="0017491A">
        <w:rPr>
          <w:rStyle w:val="citation-issue"/>
        </w:rPr>
        <w:t>1</w:t>
      </w:r>
      <w:r w:rsidRPr="0017491A">
        <w:t>, pp. </w:t>
      </w:r>
      <w:r w:rsidRPr="0017491A">
        <w:rPr>
          <w:rStyle w:val="citation-start-page"/>
        </w:rPr>
        <w:t>7-20</w:t>
      </w:r>
      <w:r w:rsidRPr="0017491A">
        <w:t>, viewed </w:t>
      </w:r>
      <w:r w:rsidRPr="0017491A">
        <w:rPr>
          <w:rStyle w:val="citation-access-date"/>
        </w:rPr>
        <w:t>14 May 2019</w:t>
      </w:r>
      <w:r w:rsidRPr="0017491A">
        <w:t>, </w:t>
      </w:r>
      <w:r w:rsidRPr="0017491A">
        <w:rPr>
          <w:rStyle w:val="citation-database-title"/>
        </w:rPr>
        <w:t>JSTOR Arts &amp; Sciences IV</w:t>
      </w:r>
      <w:r w:rsidRPr="0017491A">
        <w:t>, </w:t>
      </w:r>
      <w:r w:rsidR="00B11EA1" w:rsidRPr="0017491A">
        <w:rPr>
          <w:rStyle w:val="citation-database-publisher"/>
        </w:rPr>
        <w:t>Springer</w:t>
      </w:r>
      <w:r w:rsidRPr="0017491A">
        <w:t>.</w:t>
      </w:r>
    </w:p>
    <w:p w14:paraId="146B68A7" w14:textId="77777777" w:rsidR="00AC1A55" w:rsidRPr="00AC1A55" w:rsidRDefault="00AC1A55" w:rsidP="00B554DF">
      <w:pPr>
        <w:pStyle w:val="Title"/>
      </w:pPr>
    </w:p>
    <w:sectPr w:rsidR="00AC1A55" w:rsidRPr="00AC1A55" w:rsidSect="00381D96">
      <w:headerReference w:type="default" r:id="rId15"/>
      <w:footerReference w:type="even" r:id="rId16"/>
      <w:footerReference w:type="default" r:id="rId17"/>
      <w:pgSz w:w="11907" w:h="16840" w:code="9"/>
      <w:pgMar w:top="1071" w:right="907" w:bottom="709" w:left="90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2CB61" w14:textId="77777777" w:rsidR="004335F0" w:rsidRDefault="004335F0">
      <w:r>
        <w:separator/>
      </w:r>
    </w:p>
  </w:endnote>
  <w:endnote w:type="continuationSeparator" w:id="0">
    <w:p w14:paraId="2685B1B9" w14:textId="77777777" w:rsidR="004335F0" w:rsidRDefault="004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Gulliv-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65C2" w14:textId="77777777" w:rsidR="008E7C38" w:rsidRDefault="008E7C38" w:rsidP="00E65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665C3" w14:textId="77777777" w:rsidR="008E7C38" w:rsidRDefault="008E7C38" w:rsidP="00565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982032"/>
      <w:docPartObj>
        <w:docPartGallery w:val="Page Numbers (Bottom of Page)"/>
        <w:docPartUnique/>
      </w:docPartObj>
    </w:sdtPr>
    <w:sdtEndPr/>
    <w:sdtContent>
      <w:sdt>
        <w:sdtPr>
          <w:id w:val="1728636285"/>
          <w:docPartObj>
            <w:docPartGallery w:val="Page Numbers (Top of Page)"/>
            <w:docPartUnique/>
          </w:docPartObj>
        </w:sdtPr>
        <w:sdtEndPr/>
        <w:sdtContent>
          <w:p w14:paraId="28708B9F" w14:textId="5CCD448D" w:rsidR="00A32A0A" w:rsidRDefault="004335F0" w:rsidP="00A32A0A">
            <w:pPr>
              <w:pStyle w:val="Footer"/>
              <w:jc w:val="right"/>
            </w:pPr>
            <w:r>
              <w:rPr>
                <w:noProof/>
              </w:rPr>
              <w:pict w14:anchorId="62210795">
                <v:rect id="_x0000_i1025" style="width:504.65pt;height:1.5pt" o:hralign="center" o:hrstd="t" o:hrnoshade="t" o:hr="t" fillcolor="#e36c0a [2409]" stroked="f"/>
              </w:pict>
            </w:r>
            <w:r w:rsidR="00A32A0A" w:rsidRPr="00A32A0A">
              <w:rPr>
                <w:sz w:val="16"/>
                <w:szCs w:val="16"/>
              </w:rPr>
              <w:t xml:space="preserve">Page </w:t>
            </w:r>
            <w:r w:rsidR="00A32A0A" w:rsidRPr="00A32A0A">
              <w:rPr>
                <w:b/>
                <w:bCs/>
                <w:sz w:val="16"/>
                <w:szCs w:val="16"/>
              </w:rPr>
              <w:fldChar w:fldCharType="begin"/>
            </w:r>
            <w:r w:rsidR="00A32A0A" w:rsidRPr="00A32A0A">
              <w:rPr>
                <w:b/>
                <w:bCs/>
                <w:sz w:val="16"/>
                <w:szCs w:val="16"/>
              </w:rPr>
              <w:instrText xml:space="preserve"> PAGE </w:instrText>
            </w:r>
            <w:r w:rsidR="00A32A0A" w:rsidRPr="00A32A0A">
              <w:rPr>
                <w:b/>
                <w:bCs/>
                <w:sz w:val="16"/>
                <w:szCs w:val="16"/>
              </w:rPr>
              <w:fldChar w:fldCharType="separate"/>
            </w:r>
            <w:r w:rsidR="00CA1A1C">
              <w:rPr>
                <w:b/>
                <w:bCs/>
                <w:noProof/>
                <w:sz w:val="16"/>
                <w:szCs w:val="16"/>
              </w:rPr>
              <w:t>5</w:t>
            </w:r>
            <w:r w:rsidR="00A32A0A" w:rsidRPr="00A32A0A">
              <w:rPr>
                <w:b/>
                <w:bCs/>
                <w:sz w:val="16"/>
                <w:szCs w:val="16"/>
              </w:rPr>
              <w:fldChar w:fldCharType="end"/>
            </w:r>
            <w:r w:rsidR="00A32A0A" w:rsidRPr="00A32A0A">
              <w:rPr>
                <w:sz w:val="16"/>
                <w:szCs w:val="16"/>
              </w:rPr>
              <w:t xml:space="preserve"> of </w:t>
            </w:r>
            <w:r w:rsidR="00A32A0A" w:rsidRPr="00A32A0A">
              <w:rPr>
                <w:b/>
                <w:bCs/>
                <w:sz w:val="16"/>
                <w:szCs w:val="16"/>
              </w:rPr>
              <w:fldChar w:fldCharType="begin"/>
            </w:r>
            <w:r w:rsidR="00A32A0A" w:rsidRPr="00A32A0A">
              <w:rPr>
                <w:b/>
                <w:bCs/>
                <w:sz w:val="16"/>
                <w:szCs w:val="16"/>
              </w:rPr>
              <w:instrText xml:space="preserve"> NUMPAGES  </w:instrText>
            </w:r>
            <w:r w:rsidR="00A32A0A" w:rsidRPr="00A32A0A">
              <w:rPr>
                <w:b/>
                <w:bCs/>
                <w:sz w:val="16"/>
                <w:szCs w:val="16"/>
              </w:rPr>
              <w:fldChar w:fldCharType="separate"/>
            </w:r>
            <w:r w:rsidR="00CA1A1C">
              <w:rPr>
                <w:b/>
                <w:bCs/>
                <w:noProof/>
                <w:sz w:val="16"/>
                <w:szCs w:val="16"/>
              </w:rPr>
              <w:t>5</w:t>
            </w:r>
            <w:r w:rsidR="00A32A0A" w:rsidRPr="00A32A0A">
              <w:rPr>
                <w:b/>
                <w:bCs/>
                <w:sz w:val="16"/>
                <w:szCs w:val="16"/>
              </w:rPr>
              <w:fldChar w:fldCharType="end"/>
            </w:r>
          </w:p>
        </w:sdtContent>
      </w:sdt>
    </w:sdtContent>
  </w:sdt>
  <w:p w14:paraId="439665CA" w14:textId="77777777" w:rsidR="008E7C38" w:rsidRPr="007F7213" w:rsidRDefault="008E7C38" w:rsidP="00352615">
    <w:pPr>
      <w:pStyle w:val="Footer"/>
      <w:tabs>
        <w:tab w:val="clear" w:pos="8640"/>
        <w:tab w:val="right" w:pos="9214"/>
      </w:tabs>
      <w:ind w:right="-143"/>
      <w:rPr>
        <w:color w:val="595959"/>
        <w:sz w:val="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6190" w14:textId="77777777" w:rsidR="004335F0" w:rsidRDefault="004335F0">
      <w:r>
        <w:separator/>
      </w:r>
    </w:p>
  </w:footnote>
  <w:footnote w:type="continuationSeparator" w:id="0">
    <w:p w14:paraId="4D3FDE9F" w14:textId="77777777" w:rsidR="004335F0" w:rsidRDefault="0043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5CAC" w14:textId="54A4B66B" w:rsidR="00BD5F47" w:rsidRPr="007F6C3D" w:rsidRDefault="007F6C3D" w:rsidP="007F6C3D">
    <w:r>
      <w:rPr>
        <w:noProof/>
      </w:rPr>
      <w:drawing>
        <wp:inline distT="0" distB="0" distL="0" distR="0" wp14:anchorId="6AB0A91B" wp14:editId="3D9D6748">
          <wp:extent cx="6409055" cy="995045"/>
          <wp:effectExtent l="0" t="0" r="0" b="0"/>
          <wp:docPr id="1" name="Picture 1" descr="Tasmanian Government and TasTAFE logos, and the heading TasTAFE" title="Tasmanian Government and TasTAF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055" cy="99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459"/>
    <w:multiLevelType w:val="hybridMultilevel"/>
    <w:tmpl w:val="709A3536"/>
    <w:lvl w:ilvl="0" w:tplc="0C090001">
      <w:start w:val="1"/>
      <w:numFmt w:val="bullet"/>
      <w:lvlText w:val=""/>
      <w:lvlJc w:val="left"/>
      <w:pPr>
        <w:ind w:left="720" w:hanging="360"/>
      </w:pPr>
      <w:rPr>
        <w:rFonts w:ascii="Symbol" w:hAnsi="Symbol" w:hint="default"/>
      </w:rPr>
    </w:lvl>
    <w:lvl w:ilvl="1" w:tplc="3D1E012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B6402"/>
    <w:multiLevelType w:val="hybridMultilevel"/>
    <w:tmpl w:val="2EE8B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5B4726"/>
    <w:multiLevelType w:val="hybridMultilevel"/>
    <w:tmpl w:val="34145A88"/>
    <w:lvl w:ilvl="0" w:tplc="F5601F1E">
      <w:start w:val="1"/>
      <w:numFmt w:val="decimal"/>
      <w:lvlText w:val="%1."/>
      <w:lvlJc w:val="left"/>
      <w:pPr>
        <w:ind w:left="720" w:hanging="360"/>
      </w:pPr>
      <w:rPr>
        <w:rFonts w:hint="default"/>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805E9D"/>
    <w:multiLevelType w:val="hybridMultilevel"/>
    <w:tmpl w:val="F3BACE08"/>
    <w:lvl w:ilvl="0" w:tplc="6A524548">
      <w:start w:val="1"/>
      <w:numFmt w:val="bullet"/>
      <w:lvlText w:val=""/>
      <w:lvlJc w:val="left"/>
      <w:pPr>
        <w:ind w:left="720" w:hanging="360"/>
      </w:pPr>
      <w:rPr>
        <w:rFonts w:ascii="Webdings" w:hAnsi="Webdings" w:hint="default"/>
        <w:color w:val="8789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864578"/>
    <w:multiLevelType w:val="hybridMultilevel"/>
    <w:tmpl w:val="8BD4B8DE"/>
    <w:lvl w:ilvl="0" w:tplc="0C090001">
      <w:start w:val="1"/>
      <w:numFmt w:val="bullet"/>
      <w:lvlText w:val=""/>
      <w:lvlJc w:val="left"/>
      <w:pPr>
        <w:ind w:left="720" w:hanging="360"/>
      </w:pPr>
      <w:rPr>
        <w:rFonts w:ascii="Symbol" w:hAnsi="Symbol" w:hint="default"/>
      </w:rPr>
    </w:lvl>
    <w:lvl w:ilvl="1" w:tplc="3D1E012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8626BB"/>
    <w:multiLevelType w:val="hybridMultilevel"/>
    <w:tmpl w:val="F53A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21"/>
    <w:rsid w:val="00000267"/>
    <w:rsid w:val="00001F22"/>
    <w:rsid w:val="000020C7"/>
    <w:rsid w:val="0001561C"/>
    <w:rsid w:val="000159A5"/>
    <w:rsid w:val="00023B6E"/>
    <w:rsid w:val="00023CEE"/>
    <w:rsid w:val="0002742A"/>
    <w:rsid w:val="000317D9"/>
    <w:rsid w:val="000417F3"/>
    <w:rsid w:val="00042B62"/>
    <w:rsid w:val="00044054"/>
    <w:rsid w:val="0004612D"/>
    <w:rsid w:val="00046CA4"/>
    <w:rsid w:val="00051C25"/>
    <w:rsid w:val="00052425"/>
    <w:rsid w:val="00054545"/>
    <w:rsid w:val="00056D8E"/>
    <w:rsid w:val="00056FEB"/>
    <w:rsid w:val="00066593"/>
    <w:rsid w:val="00066FC5"/>
    <w:rsid w:val="00067872"/>
    <w:rsid w:val="00073562"/>
    <w:rsid w:val="0007549C"/>
    <w:rsid w:val="000817FC"/>
    <w:rsid w:val="00081A01"/>
    <w:rsid w:val="000834CF"/>
    <w:rsid w:val="00090FFC"/>
    <w:rsid w:val="00094FBD"/>
    <w:rsid w:val="00097EE9"/>
    <w:rsid w:val="000A3C12"/>
    <w:rsid w:val="000A70EF"/>
    <w:rsid w:val="000B1551"/>
    <w:rsid w:val="000B26B2"/>
    <w:rsid w:val="000B7A72"/>
    <w:rsid w:val="000D1AB4"/>
    <w:rsid w:val="000D34B5"/>
    <w:rsid w:val="000D3ACC"/>
    <w:rsid w:val="000E1F12"/>
    <w:rsid w:val="000E264F"/>
    <w:rsid w:val="000E47DD"/>
    <w:rsid w:val="000E591A"/>
    <w:rsid w:val="000E6029"/>
    <w:rsid w:val="000F562E"/>
    <w:rsid w:val="000F6DCA"/>
    <w:rsid w:val="000F75FD"/>
    <w:rsid w:val="000F765D"/>
    <w:rsid w:val="000F76E3"/>
    <w:rsid w:val="00112EEC"/>
    <w:rsid w:val="001173DB"/>
    <w:rsid w:val="00126C28"/>
    <w:rsid w:val="00127137"/>
    <w:rsid w:val="00127552"/>
    <w:rsid w:val="001312DA"/>
    <w:rsid w:val="001319A4"/>
    <w:rsid w:val="001401DE"/>
    <w:rsid w:val="0014090E"/>
    <w:rsid w:val="0014202E"/>
    <w:rsid w:val="001515CA"/>
    <w:rsid w:val="00152462"/>
    <w:rsid w:val="00160389"/>
    <w:rsid w:val="001663F1"/>
    <w:rsid w:val="00170EA5"/>
    <w:rsid w:val="00171E9E"/>
    <w:rsid w:val="0017491A"/>
    <w:rsid w:val="00176ABD"/>
    <w:rsid w:val="00185EEB"/>
    <w:rsid w:val="001963AB"/>
    <w:rsid w:val="001A0380"/>
    <w:rsid w:val="001A658A"/>
    <w:rsid w:val="001A6C55"/>
    <w:rsid w:val="001B0592"/>
    <w:rsid w:val="001C140C"/>
    <w:rsid w:val="001C36F5"/>
    <w:rsid w:val="001C4083"/>
    <w:rsid w:val="001C4225"/>
    <w:rsid w:val="001C5B4D"/>
    <w:rsid w:val="001C654F"/>
    <w:rsid w:val="001D4746"/>
    <w:rsid w:val="001D6E48"/>
    <w:rsid w:val="001E409A"/>
    <w:rsid w:val="001E6B52"/>
    <w:rsid w:val="001F2059"/>
    <w:rsid w:val="002113F2"/>
    <w:rsid w:val="00211A63"/>
    <w:rsid w:val="0021295B"/>
    <w:rsid w:val="00213B29"/>
    <w:rsid w:val="002156E9"/>
    <w:rsid w:val="002231B3"/>
    <w:rsid w:val="002237AC"/>
    <w:rsid w:val="0022694A"/>
    <w:rsid w:val="00227471"/>
    <w:rsid w:val="00231326"/>
    <w:rsid w:val="00232279"/>
    <w:rsid w:val="00232430"/>
    <w:rsid w:val="00232B18"/>
    <w:rsid w:val="00235533"/>
    <w:rsid w:val="00235C4E"/>
    <w:rsid w:val="00242893"/>
    <w:rsid w:val="00242C00"/>
    <w:rsid w:val="0024754C"/>
    <w:rsid w:val="00247AAC"/>
    <w:rsid w:val="00256DC7"/>
    <w:rsid w:val="0025702F"/>
    <w:rsid w:val="00262337"/>
    <w:rsid w:val="0027087F"/>
    <w:rsid w:val="002712FD"/>
    <w:rsid w:val="00272803"/>
    <w:rsid w:val="00272D01"/>
    <w:rsid w:val="002845D0"/>
    <w:rsid w:val="00284F79"/>
    <w:rsid w:val="0028558D"/>
    <w:rsid w:val="00290964"/>
    <w:rsid w:val="00297196"/>
    <w:rsid w:val="002A03E0"/>
    <w:rsid w:val="002A4A9E"/>
    <w:rsid w:val="002A4ACC"/>
    <w:rsid w:val="002A5700"/>
    <w:rsid w:val="002A6AEC"/>
    <w:rsid w:val="002B19C0"/>
    <w:rsid w:val="002B284A"/>
    <w:rsid w:val="002B73FF"/>
    <w:rsid w:val="002C2566"/>
    <w:rsid w:val="002C2845"/>
    <w:rsid w:val="002C5785"/>
    <w:rsid w:val="002D1649"/>
    <w:rsid w:val="002E1802"/>
    <w:rsid w:val="002E4061"/>
    <w:rsid w:val="002E5E38"/>
    <w:rsid w:val="002F0D18"/>
    <w:rsid w:val="002F667F"/>
    <w:rsid w:val="00300CA1"/>
    <w:rsid w:val="0030167F"/>
    <w:rsid w:val="00311F7E"/>
    <w:rsid w:val="003172E4"/>
    <w:rsid w:val="00324D9B"/>
    <w:rsid w:val="00326B4A"/>
    <w:rsid w:val="00340D6A"/>
    <w:rsid w:val="00352615"/>
    <w:rsid w:val="003604AA"/>
    <w:rsid w:val="0037607D"/>
    <w:rsid w:val="00376F91"/>
    <w:rsid w:val="00377490"/>
    <w:rsid w:val="00381D96"/>
    <w:rsid w:val="0038299A"/>
    <w:rsid w:val="00395DAC"/>
    <w:rsid w:val="003A3279"/>
    <w:rsid w:val="003B0E39"/>
    <w:rsid w:val="003B3126"/>
    <w:rsid w:val="003B346A"/>
    <w:rsid w:val="003B5BAD"/>
    <w:rsid w:val="003B72C3"/>
    <w:rsid w:val="003B74C9"/>
    <w:rsid w:val="003C2B74"/>
    <w:rsid w:val="003C54A3"/>
    <w:rsid w:val="003C59D6"/>
    <w:rsid w:val="003F5C48"/>
    <w:rsid w:val="004133A8"/>
    <w:rsid w:val="00414894"/>
    <w:rsid w:val="00416624"/>
    <w:rsid w:val="00416B1C"/>
    <w:rsid w:val="00417DAC"/>
    <w:rsid w:val="00425887"/>
    <w:rsid w:val="00430BA9"/>
    <w:rsid w:val="004335F0"/>
    <w:rsid w:val="00434C22"/>
    <w:rsid w:val="00434E40"/>
    <w:rsid w:val="004358FB"/>
    <w:rsid w:val="00442944"/>
    <w:rsid w:val="00443849"/>
    <w:rsid w:val="004462E5"/>
    <w:rsid w:val="004475CD"/>
    <w:rsid w:val="00447E0B"/>
    <w:rsid w:val="00462C6C"/>
    <w:rsid w:val="00465954"/>
    <w:rsid w:val="00471C02"/>
    <w:rsid w:val="00472732"/>
    <w:rsid w:val="0047622A"/>
    <w:rsid w:val="00483E5A"/>
    <w:rsid w:val="00491609"/>
    <w:rsid w:val="004A08C8"/>
    <w:rsid w:val="004A0B11"/>
    <w:rsid w:val="004A3BD2"/>
    <w:rsid w:val="004A4F7A"/>
    <w:rsid w:val="004A64E1"/>
    <w:rsid w:val="004B5627"/>
    <w:rsid w:val="004C1534"/>
    <w:rsid w:val="004C1AC6"/>
    <w:rsid w:val="004C3490"/>
    <w:rsid w:val="004C37EA"/>
    <w:rsid w:val="004C61CD"/>
    <w:rsid w:val="004D2298"/>
    <w:rsid w:val="004D253E"/>
    <w:rsid w:val="004D42B3"/>
    <w:rsid w:val="004E21AE"/>
    <w:rsid w:val="004F47B8"/>
    <w:rsid w:val="004F4FF3"/>
    <w:rsid w:val="0050552C"/>
    <w:rsid w:val="00522151"/>
    <w:rsid w:val="00523F92"/>
    <w:rsid w:val="00524C66"/>
    <w:rsid w:val="00524EC8"/>
    <w:rsid w:val="00526E36"/>
    <w:rsid w:val="00526F8E"/>
    <w:rsid w:val="00541059"/>
    <w:rsid w:val="00542E1B"/>
    <w:rsid w:val="005442D8"/>
    <w:rsid w:val="005449A1"/>
    <w:rsid w:val="00544DD1"/>
    <w:rsid w:val="0055211D"/>
    <w:rsid w:val="00555237"/>
    <w:rsid w:val="0055576F"/>
    <w:rsid w:val="00555AFA"/>
    <w:rsid w:val="00562CFB"/>
    <w:rsid w:val="0056528E"/>
    <w:rsid w:val="00565B8F"/>
    <w:rsid w:val="00566A42"/>
    <w:rsid w:val="00571B8C"/>
    <w:rsid w:val="00574932"/>
    <w:rsid w:val="0059269A"/>
    <w:rsid w:val="00593BD6"/>
    <w:rsid w:val="00593E27"/>
    <w:rsid w:val="005950FB"/>
    <w:rsid w:val="005A2AA6"/>
    <w:rsid w:val="005A6071"/>
    <w:rsid w:val="005A73AD"/>
    <w:rsid w:val="005B6F0B"/>
    <w:rsid w:val="005C6388"/>
    <w:rsid w:val="005D5967"/>
    <w:rsid w:val="005D5C3F"/>
    <w:rsid w:val="005E7B6B"/>
    <w:rsid w:val="005F313E"/>
    <w:rsid w:val="005F39B0"/>
    <w:rsid w:val="005F5740"/>
    <w:rsid w:val="006135AA"/>
    <w:rsid w:val="00630D5A"/>
    <w:rsid w:val="00633DBF"/>
    <w:rsid w:val="00634919"/>
    <w:rsid w:val="006448B6"/>
    <w:rsid w:val="00651541"/>
    <w:rsid w:val="00655D61"/>
    <w:rsid w:val="0065641B"/>
    <w:rsid w:val="00661C21"/>
    <w:rsid w:val="00662F37"/>
    <w:rsid w:val="00665353"/>
    <w:rsid w:val="006705AD"/>
    <w:rsid w:val="00671A8F"/>
    <w:rsid w:val="006755A0"/>
    <w:rsid w:val="0067683E"/>
    <w:rsid w:val="00685D4E"/>
    <w:rsid w:val="006861F7"/>
    <w:rsid w:val="00686CB1"/>
    <w:rsid w:val="00693069"/>
    <w:rsid w:val="00694E0E"/>
    <w:rsid w:val="0069510D"/>
    <w:rsid w:val="006B6C3A"/>
    <w:rsid w:val="006B7D61"/>
    <w:rsid w:val="006C21B1"/>
    <w:rsid w:val="006C5273"/>
    <w:rsid w:val="006D0260"/>
    <w:rsid w:val="006D3AE8"/>
    <w:rsid w:val="006F15CB"/>
    <w:rsid w:val="006F74BD"/>
    <w:rsid w:val="007009C7"/>
    <w:rsid w:val="00703808"/>
    <w:rsid w:val="007124C9"/>
    <w:rsid w:val="0072080E"/>
    <w:rsid w:val="00727B8A"/>
    <w:rsid w:val="00736746"/>
    <w:rsid w:val="00740C27"/>
    <w:rsid w:val="007467B6"/>
    <w:rsid w:val="00750BF8"/>
    <w:rsid w:val="00754C10"/>
    <w:rsid w:val="00756CD1"/>
    <w:rsid w:val="00760202"/>
    <w:rsid w:val="00762CD4"/>
    <w:rsid w:val="00766504"/>
    <w:rsid w:val="00771D40"/>
    <w:rsid w:val="00772F41"/>
    <w:rsid w:val="007772BC"/>
    <w:rsid w:val="00783D88"/>
    <w:rsid w:val="00786016"/>
    <w:rsid w:val="007861DB"/>
    <w:rsid w:val="007939DA"/>
    <w:rsid w:val="0079472C"/>
    <w:rsid w:val="007A3667"/>
    <w:rsid w:val="007A5FCE"/>
    <w:rsid w:val="007C3ADD"/>
    <w:rsid w:val="007C4DC5"/>
    <w:rsid w:val="007D24EF"/>
    <w:rsid w:val="007D7FE7"/>
    <w:rsid w:val="007E0C65"/>
    <w:rsid w:val="007E0D73"/>
    <w:rsid w:val="007E6342"/>
    <w:rsid w:val="007F633E"/>
    <w:rsid w:val="007F6B12"/>
    <w:rsid w:val="007F6C3D"/>
    <w:rsid w:val="007F7213"/>
    <w:rsid w:val="00800C66"/>
    <w:rsid w:val="008130BD"/>
    <w:rsid w:val="008270DA"/>
    <w:rsid w:val="00843030"/>
    <w:rsid w:val="0084570D"/>
    <w:rsid w:val="00845D6A"/>
    <w:rsid w:val="00850AAC"/>
    <w:rsid w:val="00854E0C"/>
    <w:rsid w:val="0085678C"/>
    <w:rsid w:val="0086049F"/>
    <w:rsid w:val="00862FCA"/>
    <w:rsid w:val="00864129"/>
    <w:rsid w:val="008650FE"/>
    <w:rsid w:val="00872653"/>
    <w:rsid w:val="00890091"/>
    <w:rsid w:val="0089321D"/>
    <w:rsid w:val="0089590F"/>
    <w:rsid w:val="008A4602"/>
    <w:rsid w:val="008B2CF5"/>
    <w:rsid w:val="008B3F2B"/>
    <w:rsid w:val="008B6C7C"/>
    <w:rsid w:val="008C56B5"/>
    <w:rsid w:val="008D43E7"/>
    <w:rsid w:val="008D4616"/>
    <w:rsid w:val="008E427E"/>
    <w:rsid w:val="008E7C38"/>
    <w:rsid w:val="008F4519"/>
    <w:rsid w:val="008F7E1B"/>
    <w:rsid w:val="009110A2"/>
    <w:rsid w:val="00912DE2"/>
    <w:rsid w:val="009303FA"/>
    <w:rsid w:val="00932810"/>
    <w:rsid w:val="0093372E"/>
    <w:rsid w:val="00936905"/>
    <w:rsid w:val="00944883"/>
    <w:rsid w:val="00944D86"/>
    <w:rsid w:val="00951FE9"/>
    <w:rsid w:val="009549B3"/>
    <w:rsid w:val="009563AD"/>
    <w:rsid w:val="00956495"/>
    <w:rsid w:val="00956535"/>
    <w:rsid w:val="009576F3"/>
    <w:rsid w:val="0096608B"/>
    <w:rsid w:val="00972EBC"/>
    <w:rsid w:val="00974362"/>
    <w:rsid w:val="00974460"/>
    <w:rsid w:val="009764FA"/>
    <w:rsid w:val="00977307"/>
    <w:rsid w:val="0098422D"/>
    <w:rsid w:val="009927BE"/>
    <w:rsid w:val="009A2522"/>
    <w:rsid w:val="009A3F93"/>
    <w:rsid w:val="009A6DFA"/>
    <w:rsid w:val="009A71E8"/>
    <w:rsid w:val="009B7A32"/>
    <w:rsid w:val="009B7A33"/>
    <w:rsid w:val="009C679D"/>
    <w:rsid w:val="009C7615"/>
    <w:rsid w:val="009D0B58"/>
    <w:rsid w:val="009D1236"/>
    <w:rsid w:val="009D39D4"/>
    <w:rsid w:val="009D5331"/>
    <w:rsid w:val="009E48CD"/>
    <w:rsid w:val="009E7735"/>
    <w:rsid w:val="009F076E"/>
    <w:rsid w:val="009F1C70"/>
    <w:rsid w:val="009F2938"/>
    <w:rsid w:val="009F2BE9"/>
    <w:rsid w:val="009F4F27"/>
    <w:rsid w:val="009F6DA3"/>
    <w:rsid w:val="00A01526"/>
    <w:rsid w:val="00A029D9"/>
    <w:rsid w:val="00A03E3F"/>
    <w:rsid w:val="00A05FE9"/>
    <w:rsid w:val="00A159EF"/>
    <w:rsid w:val="00A16DD8"/>
    <w:rsid w:val="00A211FD"/>
    <w:rsid w:val="00A22363"/>
    <w:rsid w:val="00A249A9"/>
    <w:rsid w:val="00A2768C"/>
    <w:rsid w:val="00A32A0A"/>
    <w:rsid w:val="00A36187"/>
    <w:rsid w:val="00A50240"/>
    <w:rsid w:val="00A50918"/>
    <w:rsid w:val="00A50B0E"/>
    <w:rsid w:val="00A557CC"/>
    <w:rsid w:val="00A55D8C"/>
    <w:rsid w:val="00A63254"/>
    <w:rsid w:val="00A7275F"/>
    <w:rsid w:val="00A7397B"/>
    <w:rsid w:val="00A73F66"/>
    <w:rsid w:val="00A750C0"/>
    <w:rsid w:val="00A7523A"/>
    <w:rsid w:val="00A84A1D"/>
    <w:rsid w:val="00A84F64"/>
    <w:rsid w:val="00AA00F3"/>
    <w:rsid w:val="00AA3AE1"/>
    <w:rsid w:val="00AB088D"/>
    <w:rsid w:val="00AB163F"/>
    <w:rsid w:val="00AC1A55"/>
    <w:rsid w:val="00AC60C2"/>
    <w:rsid w:val="00AD0F56"/>
    <w:rsid w:val="00AD7B70"/>
    <w:rsid w:val="00AE3ACE"/>
    <w:rsid w:val="00AE7A7B"/>
    <w:rsid w:val="00AF2471"/>
    <w:rsid w:val="00AF47F5"/>
    <w:rsid w:val="00AF5C40"/>
    <w:rsid w:val="00AF71F8"/>
    <w:rsid w:val="00B02F03"/>
    <w:rsid w:val="00B07D2D"/>
    <w:rsid w:val="00B11EA1"/>
    <w:rsid w:val="00B12E30"/>
    <w:rsid w:val="00B1489B"/>
    <w:rsid w:val="00B14934"/>
    <w:rsid w:val="00B21C43"/>
    <w:rsid w:val="00B24288"/>
    <w:rsid w:val="00B24369"/>
    <w:rsid w:val="00B24E14"/>
    <w:rsid w:val="00B26AA2"/>
    <w:rsid w:val="00B307E4"/>
    <w:rsid w:val="00B32BA4"/>
    <w:rsid w:val="00B40785"/>
    <w:rsid w:val="00B45907"/>
    <w:rsid w:val="00B51B76"/>
    <w:rsid w:val="00B5510B"/>
    <w:rsid w:val="00B554DF"/>
    <w:rsid w:val="00B631D7"/>
    <w:rsid w:val="00B637CA"/>
    <w:rsid w:val="00B66383"/>
    <w:rsid w:val="00B673F6"/>
    <w:rsid w:val="00B708E5"/>
    <w:rsid w:val="00B72223"/>
    <w:rsid w:val="00B75F5F"/>
    <w:rsid w:val="00B821AC"/>
    <w:rsid w:val="00B82DF3"/>
    <w:rsid w:val="00B85373"/>
    <w:rsid w:val="00B85CBC"/>
    <w:rsid w:val="00B925F2"/>
    <w:rsid w:val="00B93F5C"/>
    <w:rsid w:val="00BA05B2"/>
    <w:rsid w:val="00BA28FE"/>
    <w:rsid w:val="00BA4EDA"/>
    <w:rsid w:val="00BB2E87"/>
    <w:rsid w:val="00BB53CA"/>
    <w:rsid w:val="00BB5FE3"/>
    <w:rsid w:val="00BC4272"/>
    <w:rsid w:val="00BC6B62"/>
    <w:rsid w:val="00BC7C1A"/>
    <w:rsid w:val="00BD0132"/>
    <w:rsid w:val="00BD22D3"/>
    <w:rsid w:val="00BD5F47"/>
    <w:rsid w:val="00BE0C65"/>
    <w:rsid w:val="00BE4057"/>
    <w:rsid w:val="00BE4421"/>
    <w:rsid w:val="00BE6A8B"/>
    <w:rsid w:val="00BF1D7C"/>
    <w:rsid w:val="00BF5E76"/>
    <w:rsid w:val="00BF6027"/>
    <w:rsid w:val="00BF780D"/>
    <w:rsid w:val="00BF7F31"/>
    <w:rsid w:val="00C013B0"/>
    <w:rsid w:val="00C16503"/>
    <w:rsid w:val="00C16AFB"/>
    <w:rsid w:val="00C251DF"/>
    <w:rsid w:val="00C31FA5"/>
    <w:rsid w:val="00C36E45"/>
    <w:rsid w:val="00C3727A"/>
    <w:rsid w:val="00C40E9E"/>
    <w:rsid w:val="00C41A4F"/>
    <w:rsid w:val="00C50A83"/>
    <w:rsid w:val="00C548B1"/>
    <w:rsid w:val="00C564B0"/>
    <w:rsid w:val="00C56EC5"/>
    <w:rsid w:val="00C60004"/>
    <w:rsid w:val="00C6216A"/>
    <w:rsid w:val="00C64CB1"/>
    <w:rsid w:val="00C70872"/>
    <w:rsid w:val="00C73B91"/>
    <w:rsid w:val="00C75595"/>
    <w:rsid w:val="00C76465"/>
    <w:rsid w:val="00C779CD"/>
    <w:rsid w:val="00C83CAA"/>
    <w:rsid w:val="00C85183"/>
    <w:rsid w:val="00C91E4F"/>
    <w:rsid w:val="00CA1A1C"/>
    <w:rsid w:val="00CA2B46"/>
    <w:rsid w:val="00CA3BA8"/>
    <w:rsid w:val="00CA40CE"/>
    <w:rsid w:val="00CA4820"/>
    <w:rsid w:val="00CA6285"/>
    <w:rsid w:val="00CA7001"/>
    <w:rsid w:val="00CB0D9A"/>
    <w:rsid w:val="00CB6131"/>
    <w:rsid w:val="00CB6DF1"/>
    <w:rsid w:val="00CC457C"/>
    <w:rsid w:val="00CC595C"/>
    <w:rsid w:val="00CC7FFE"/>
    <w:rsid w:val="00CD2AF9"/>
    <w:rsid w:val="00CD3F51"/>
    <w:rsid w:val="00CD52E4"/>
    <w:rsid w:val="00CD5AD7"/>
    <w:rsid w:val="00CD7F5A"/>
    <w:rsid w:val="00CE1751"/>
    <w:rsid w:val="00CE41A6"/>
    <w:rsid w:val="00CF1827"/>
    <w:rsid w:val="00CF2452"/>
    <w:rsid w:val="00CF281E"/>
    <w:rsid w:val="00CF53C0"/>
    <w:rsid w:val="00CF71CC"/>
    <w:rsid w:val="00D0512F"/>
    <w:rsid w:val="00D1023C"/>
    <w:rsid w:val="00D17490"/>
    <w:rsid w:val="00D1773C"/>
    <w:rsid w:val="00D202C5"/>
    <w:rsid w:val="00D2088A"/>
    <w:rsid w:val="00D235C1"/>
    <w:rsid w:val="00D23F3F"/>
    <w:rsid w:val="00D258B5"/>
    <w:rsid w:val="00D2740B"/>
    <w:rsid w:val="00D3291B"/>
    <w:rsid w:val="00D34B4D"/>
    <w:rsid w:val="00D3592A"/>
    <w:rsid w:val="00D4481B"/>
    <w:rsid w:val="00D51AEE"/>
    <w:rsid w:val="00D757C7"/>
    <w:rsid w:val="00D75D0A"/>
    <w:rsid w:val="00D81F85"/>
    <w:rsid w:val="00D9046A"/>
    <w:rsid w:val="00D92856"/>
    <w:rsid w:val="00D929CF"/>
    <w:rsid w:val="00D95F75"/>
    <w:rsid w:val="00DA1439"/>
    <w:rsid w:val="00DA2929"/>
    <w:rsid w:val="00DA6618"/>
    <w:rsid w:val="00DA677B"/>
    <w:rsid w:val="00DA69D9"/>
    <w:rsid w:val="00DB1040"/>
    <w:rsid w:val="00DB127F"/>
    <w:rsid w:val="00DB1895"/>
    <w:rsid w:val="00DB3806"/>
    <w:rsid w:val="00DB5DE1"/>
    <w:rsid w:val="00DC02D4"/>
    <w:rsid w:val="00DC05FB"/>
    <w:rsid w:val="00DC1065"/>
    <w:rsid w:val="00DC2C63"/>
    <w:rsid w:val="00DC2F7E"/>
    <w:rsid w:val="00DC47CB"/>
    <w:rsid w:val="00DD107D"/>
    <w:rsid w:val="00DD277F"/>
    <w:rsid w:val="00DD3A6B"/>
    <w:rsid w:val="00DD509B"/>
    <w:rsid w:val="00DE10EE"/>
    <w:rsid w:val="00DF2160"/>
    <w:rsid w:val="00DF24A4"/>
    <w:rsid w:val="00DF2B7D"/>
    <w:rsid w:val="00DF337A"/>
    <w:rsid w:val="00E01A1E"/>
    <w:rsid w:val="00E02526"/>
    <w:rsid w:val="00E02FEE"/>
    <w:rsid w:val="00E1173B"/>
    <w:rsid w:val="00E1414E"/>
    <w:rsid w:val="00E2058A"/>
    <w:rsid w:val="00E20D24"/>
    <w:rsid w:val="00E214F9"/>
    <w:rsid w:val="00E27B41"/>
    <w:rsid w:val="00E329A1"/>
    <w:rsid w:val="00E37F19"/>
    <w:rsid w:val="00E51DCA"/>
    <w:rsid w:val="00E54217"/>
    <w:rsid w:val="00E55C65"/>
    <w:rsid w:val="00E55E9D"/>
    <w:rsid w:val="00E578F3"/>
    <w:rsid w:val="00E62A23"/>
    <w:rsid w:val="00E62C25"/>
    <w:rsid w:val="00E63E90"/>
    <w:rsid w:val="00E651E6"/>
    <w:rsid w:val="00E722B9"/>
    <w:rsid w:val="00E76FB1"/>
    <w:rsid w:val="00E77A39"/>
    <w:rsid w:val="00E81E5B"/>
    <w:rsid w:val="00E846FB"/>
    <w:rsid w:val="00E848A5"/>
    <w:rsid w:val="00E92807"/>
    <w:rsid w:val="00EA5FAA"/>
    <w:rsid w:val="00EA6A48"/>
    <w:rsid w:val="00EA70B4"/>
    <w:rsid w:val="00EB62F8"/>
    <w:rsid w:val="00EB75BE"/>
    <w:rsid w:val="00EC35E6"/>
    <w:rsid w:val="00ED321E"/>
    <w:rsid w:val="00EE35D8"/>
    <w:rsid w:val="00F02924"/>
    <w:rsid w:val="00F066FC"/>
    <w:rsid w:val="00F06B31"/>
    <w:rsid w:val="00F13CCC"/>
    <w:rsid w:val="00F14702"/>
    <w:rsid w:val="00F1571C"/>
    <w:rsid w:val="00F3290B"/>
    <w:rsid w:val="00F334B7"/>
    <w:rsid w:val="00F376A8"/>
    <w:rsid w:val="00F41687"/>
    <w:rsid w:val="00F46374"/>
    <w:rsid w:val="00F52558"/>
    <w:rsid w:val="00F53CBF"/>
    <w:rsid w:val="00F5432E"/>
    <w:rsid w:val="00F54D75"/>
    <w:rsid w:val="00F564A0"/>
    <w:rsid w:val="00F601EF"/>
    <w:rsid w:val="00F6148F"/>
    <w:rsid w:val="00F63AC1"/>
    <w:rsid w:val="00F67E66"/>
    <w:rsid w:val="00F720F6"/>
    <w:rsid w:val="00F8053A"/>
    <w:rsid w:val="00F865AE"/>
    <w:rsid w:val="00FA1B5E"/>
    <w:rsid w:val="00FA4E5B"/>
    <w:rsid w:val="00FA5504"/>
    <w:rsid w:val="00FB002E"/>
    <w:rsid w:val="00FB44A7"/>
    <w:rsid w:val="00FB5EBA"/>
    <w:rsid w:val="00FB67B6"/>
    <w:rsid w:val="00FC0953"/>
    <w:rsid w:val="00FC1BAE"/>
    <w:rsid w:val="00FC25A4"/>
    <w:rsid w:val="00FD186E"/>
    <w:rsid w:val="00FD536B"/>
    <w:rsid w:val="00FE4D77"/>
    <w:rsid w:val="00FE6678"/>
    <w:rsid w:val="00FF2FB1"/>
    <w:rsid w:val="00FF7221"/>
    <w:rsid w:val="00FF7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665A5"/>
  <w15:docId w15:val="{77EBDE25-43BA-4B8D-8C8D-DC6602D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itle"/>
    <w:qFormat/>
    <w:rsid w:val="00522151"/>
    <w:pPr>
      <w:spacing w:after="120" w:line="360" w:lineRule="auto"/>
    </w:pPr>
    <w:rPr>
      <w:rFonts w:ascii="Gill Sans MT" w:hAnsi="Gill Sans MT"/>
      <w:color w:val="000000" w:themeColor="text1"/>
      <w:sz w:val="24"/>
    </w:rPr>
  </w:style>
  <w:style w:type="paragraph" w:styleId="Heading1">
    <w:name w:val="heading 1"/>
    <w:basedOn w:val="Normal"/>
    <w:next w:val="Normal"/>
    <w:link w:val="Heading1Char"/>
    <w:autoRedefine/>
    <w:uiPriority w:val="9"/>
    <w:qFormat/>
    <w:rsid w:val="006B6C3A"/>
    <w:pPr>
      <w:keepNext/>
      <w:keepLines/>
      <w:spacing w:before="120" w:line="240" w:lineRule="auto"/>
      <w:contextualSpacing/>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6B6C3A"/>
    <w:pPr>
      <w:keepNext/>
      <w:keepLines/>
      <w:spacing w:before="120" w:line="240" w:lineRule="auto"/>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D757C7"/>
    <w:pPr>
      <w:keepNext/>
      <w:keepLines/>
      <w:spacing w:before="120"/>
      <w:contextualSpacing/>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rsid w:val="00956535"/>
    <w:pPr>
      <w:keepNext/>
      <w:keepLines/>
      <w:spacing w:before="200" w:after="0"/>
      <w:outlineLvl w:val="3"/>
    </w:pPr>
    <w:rPr>
      <w:rFonts w:eastAsiaTheme="majorEastAsia" w:cstheme="majorBidi"/>
      <w:b/>
      <w:bCs/>
      <w:iCs/>
      <w:color w:val="7F7F7F" w:themeColor="text1" w:themeTint="80"/>
    </w:rPr>
  </w:style>
  <w:style w:type="paragraph" w:styleId="Heading5">
    <w:name w:val="heading 5"/>
    <w:basedOn w:val="Normal"/>
    <w:next w:val="Normal"/>
    <w:link w:val="Heading5Char"/>
    <w:uiPriority w:val="9"/>
    <w:unhideWhenUsed/>
    <w:rsid w:val="00740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40C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40C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40C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rsid w:val="00740C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740C27"/>
    <w:rPr>
      <w:b/>
      <w:bCs/>
    </w:rPr>
  </w:style>
  <w:style w:type="paragraph" w:customStyle="1" w:styleId="Default">
    <w:name w:val="Default"/>
    <w:rsid w:val="00E2058A"/>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9549B3"/>
    <w:pPr>
      <w:tabs>
        <w:tab w:val="center" w:pos="4320"/>
        <w:tab w:val="right" w:pos="8640"/>
      </w:tabs>
    </w:pPr>
  </w:style>
  <w:style w:type="paragraph" w:styleId="Footer">
    <w:name w:val="footer"/>
    <w:basedOn w:val="Normal"/>
    <w:link w:val="FooterChar"/>
    <w:uiPriority w:val="99"/>
    <w:rsid w:val="009549B3"/>
    <w:pPr>
      <w:tabs>
        <w:tab w:val="center" w:pos="4320"/>
        <w:tab w:val="right" w:pos="8640"/>
      </w:tabs>
    </w:pPr>
  </w:style>
  <w:style w:type="paragraph" w:styleId="BalloonText">
    <w:name w:val="Balloon Text"/>
    <w:basedOn w:val="Normal"/>
    <w:semiHidden/>
    <w:rsid w:val="00736746"/>
    <w:rPr>
      <w:rFonts w:ascii="Tahoma" w:hAnsi="Tahoma" w:cs="Tahoma"/>
      <w:sz w:val="16"/>
      <w:szCs w:val="16"/>
    </w:rPr>
  </w:style>
  <w:style w:type="character" w:customStyle="1" w:styleId="Heading2Char">
    <w:name w:val="Heading 2 Char"/>
    <w:basedOn w:val="DefaultParagraphFont"/>
    <w:link w:val="Heading2"/>
    <w:uiPriority w:val="9"/>
    <w:rsid w:val="006B6C3A"/>
    <w:rPr>
      <w:rFonts w:ascii="Gill Sans MT" w:eastAsiaTheme="majorEastAsia" w:hAnsi="Gill Sans MT" w:cstheme="majorBidi"/>
      <w:b/>
      <w:bCs/>
      <w:color w:val="000000" w:themeColor="text1"/>
      <w:sz w:val="32"/>
      <w:szCs w:val="26"/>
    </w:rPr>
  </w:style>
  <w:style w:type="paragraph" w:customStyle="1" w:styleId="Char">
    <w:name w:val="Char"/>
    <w:basedOn w:val="Normal"/>
    <w:rsid w:val="00BF780D"/>
    <w:rPr>
      <w:rFonts w:ascii="Arial" w:hAnsi="Arial"/>
      <w:szCs w:val="20"/>
    </w:rPr>
  </w:style>
  <w:style w:type="paragraph" w:customStyle="1" w:styleId="Char0">
    <w:name w:val="Char"/>
    <w:basedOn w:val="Normal"/>
    <w:rsid w:val="00F376A8"/>
    <w:rPr>
      <w:rFonts w:ascii="Arial" w:eastAsia="SimSun" w:hAnsi="Arial"/>
      <w:szCs w:val="20"/>
    </w:rPr>
  </w:style>
  <w:style w:type="character" w:styleId="PageNumber">
    <w:name w:val="page number"/>
    <w:basedOn w:val="DefaultParagraphFont"/>
    <w:rsid w:val="0056528E"/>
  </w:style>
  <w:style w:type="paragraph" w:styleId="BodyTextIndent2">
    <w:name w:val="Body Text Indent 2"/>
    <w:basedOn w:val="Normal"/>
    <w:link w:val="BodyTextIndent2Char"/>
    <w:rsid w:val="00524C66"/>
    <w:pPr>
      <w:spacing w:line="480" w:lineRule="auto"/>
      <w:ind w:left="283"/>
    </w:pPr>
  </w:style>
  <w:style w:type="character" w:customStyle="1" w:styleId="BodyTextIndent2Char">
    <w:name w:val="Body Text Indent 2 Char"/>
    <w:basedOn w:val="DefaultParagraphFont"/>
    <w:link w:val="BodyTextIndent2"/>
    <w:rsid w:val="00524C66"/>
    <w:rPr>
      <w:sz w:val="24"/>
      <w:szCs w:val="24"/>
      <w:lang w:val="en-US" w:eastAsia="en-US" w:bidi="ar-SA"/>
    </w:rPr>
  </w:style>
  <w:style w:type="paragraph" w:styleId="ListParagraph">
    <w:name w:val="List Paragraph"/>
    <w:basedOn w:val="Normal"/>
    <w:uiPriority w:val="34"/>
    <w:qFormat/>
    <w:rsid w:val="00740C27"/>
    <w:pPr>
      <w:ind w:left="720"/>
      <w:contextualSpacing/>
    </w:pPr>
  </w:style>
  <w:style w:type="character" w:styleId="Hyperlink">
    <w:name w:val="Hyperlink"/>
    <w:unhideWhenUsed/>
    <w:rsid w:val="00B925F2"/>
    <w:rPr>
      <w:color w:val="0000FF"/>
      <w:u w:val="single"/>
    </w:rPr>
  </w:style>
  <w:style w:type="paragraph" w:styleId="NormalWeb">
    <w:name w:val="Normal (Web)"/>
    <w:basedOn w:val="Normal"/>
    <w:uiPriority w:val="99"/>
    <w:rsid w:val="00932810"/>
  </w:style>
  <w:style w:type="character" w:customStyle="1" w:styleId="Heading1Char">
    <w:name w:val="Heading 1 Char"/>
    <w:basedOn w:val="DefaultParagraphFont"/>
    <w:link w:val="Heading1"/>
    <w:uiPriority w:val="9"/>
    <w:rsid w:val="006B6C3A"/>
    <w:rPr>
      <w:rFonts w:ascii="Gill Sans MT" w:eastAsiaTheme="majorEastAsia" w:hAnsi="Gill Sans MT" w:cstheme="majorBidi"/>
      <w:b/>
      <w:bCs/>
      <w:color w:val="000000" w:themeColor="text1"/>
      <w:sz w:val="40"/>
      <w:szCs w:val="28"/>
    </w:rPr>
  </w:style>
  <w:style w:type="character" w:customStyle="1" w:styleId="Heading3Char">
    <w:name w:val="Heading 3 Char"/>
    <w:basedOn w:val="DefaultParagraphFont"/>
    <w:link w:val="Heading3"/>
    <w:uiPriority w:val="9"/>
    <w:rsid w:val="00D757C7"/>
    <w:rPr>
      <w:rFonts w:ascii="Gill Sans MT" w:eastAsiaTheme="majorEastAsia" w:hAnsi="Gill Sans MT" w:cstheme="majorBidi"/>
      <w:b/>
      <w:bCs/>
      <w:color w:val="000000" w:themeColor="text1"/>
      <w:sz w:val="28"/>
      <w:szCs w:val="28"/>
    </w:rPr>
  </w:style>
  <w:style w:type="character" w:customStyle="1" w:styleId="Heading4Char">
    <w:name w:val="Heading 4 Char"/>
    <w:basedOn w:val="DefaultParagraphFont"/>
    <w:link w:val="Heading4"/>
    <w:uiPriority w:val="9"/>
    <w:rsid w:val="00956535"/>
    <w:rPr>
      <w:rFonts w:ascii="Gill Sans MT" w:eastAsiaTheme="majorEastAsia" w:hAnsi="Gill Sans MT" w:cstheme="majorBidi"/>
      <w:b/>
      <w:bCs/>
      <w:iCs/>
      <w:color w:val="7F7F7F" w:themeColor="text1" w:themeTint="80"/>
    </w:rPr>
  </w:style>
  <w:style w:type="character" w:customStyle="1" w:styleId="Heading5Char">
    <w:name w:val="Heading 5 Char"/>
    <w:basedOn w:val="DefaultParagraphFont"/>
    <w:link w:val="Heading5"/>
    <w:uiPriority w:val="9"/>
    <w:rsid w:val="00740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40C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40C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0C2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40C2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0C27"/>
    <w:rPr>
      <w:b/>
      <w:bCs/>
      <w:color w:val="4F81BD" w:themeColor="accent1"/>
      <w:sz w:val="18"/>
      <w:szCs w:val="18"/>
    </w:rPr>
  </w:style>
  <w:style w:type="paragraph" w:styleId="Title">
    <w:name w:val="Title"/>
    <w:basedOn w:val="Heading1"/>
    <w:link w:val="TitleChar"/>
    <w:autoRedefine/>
    <w:uiPriority w:val="10"/>
    <w:qFormat/>
    <w:rsid w:val="00B554DF"/>
    <w:pPr>
      <w:spacing w:after="240"/>
    </w:pPr>
    <w:rPr>
      <w:rFonts w:cs="Arial"/>
      <w:color w:val="auto"/>
      <w:spacing w:val="5"/>
      <w:kern w:val="28"/>
      <w:sz w:val="24"/>
      <w:szCs w:val="24"/>
      <w:shd w:val="clear" w:color="auto" w:fill="FFFFFF"/>
    </w:rPr>
  </w:style>
  <w:style w:type="character" w:customStyle="1" w:styleId="TitleChar">
    <w:name w:val="Title Char"/>
    <w:basedOn w:val="DefaultParagraphFont"/>
    <w:link w:val="Title"/>
    <w:uiPriority w:val="10"/>
    <w:rsid w:val="00B554DF"/>
    <w:rPr>
      <w:rFonts w:ascii="Gill Sans MT" w:eastAsiaTheme="majorEastAsia" w:hAnsi="Gill Sans MT" w:cs="Arial"/>
      <w:b/>
      <w:bCs/>
      <w:spacing w:val="5"/>
      <w:kern w:val="28"/>
      <w:sz w:val="24"/>
      <w:szCs w:val="24"/>
    </w:rPr>
  </w:style>
  <w:style w:type="paragraph" w:styleId="Subtitle">
    <w:name w:val="Subtitle"/>
    <w:basedOn w:val="Normal"/>
    <w:next w:val="Normal"/>
    <w:link w:val="SubtitleChar"/>
    <w:uiPriority w:val="11"/>
    <w:rsid w:val="00740C2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40C2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40C27"/>
    <w:rPr>
      <w:i/>
      <w:iCs/>
    </w:rPr>
  </w:style>
  <w:style w:type="paragraph" w:styleId="NoSpacing">
    <w:name w:val="No Spacing"/>
    <w:uiPriority w:val="1"/>
    <w:rsid w:val="00740C27"/>
    <w:pPr>
      <w:spacing w:after="0" w:line="240" w:lineRule="auto"/>
    </w:pPr>
  </w:style>
  <w:style w:type="paragraph" w:styleId="Quote">
    <w:name w:val="Quote"/>
    <w:basedOn w:val="Normal"/>
    <w:next w:val="Normal"/>
    <w:link w:val="QuoteChar"/>
    <w:uiPriority w:val="29"/>
    <w:rsid w:val="00740C27"/>
    <w:rPr>
      <w:i/>
      <w:iCs/>
    </w:rPr>
  </w:style>
  <w:style w:type="character" w:customStyle="1" w:styleId="QuoteChar">
    <w:name w:val="Quote Char"/>
    <w:basedOn w:val="DefaultParagraphFont"/>
    <w:link w:val="Quote"/>
    <w:uiPriority w:val="29"/>
    <w:rsid w:val="00740C27"/>
    <w:rPr>
      <w:i/>
      <w:iCs/>
      <w:color w:val="000000" w:themeColor="text1"/>
    </w:rPr>
  </w:style>
  <w:style w:type="paragraph" w:styleId="IntenseQuote">
    <w:name w:val="Intense Quote"/>
    <w:basedOn w:val="Normal"/>
    <w:next w:val="Normal"/>
    <w:link w:val="IntenseQuoteChar"/>
    <w:uiPriority w:val="30"/>
    <w:rsid w:val="00740C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0C27"/>
    <w:rPr>
      <w:b/>
      <w:bCs/>
      <w:i/>
      <w:iCs/>
      <w:color w:val="4F81BD" w:themeColor="accent1"/>
    </w:rPr>
  </w:style>
  <w:style w:type="character" w:styleId="SubtleEmphasis">
    <w:name w:val="Subtle Emphasis"/>
    <w:basedOn w:val="DefaultParagraphFont"/>
    <w:uiPriority w:val="19"/>
    <w:rsid w:val="00740C27"/>
    <w:rPr>
      <w:i/>
      <w:iCs/>
      <w:color w:val="808080" w:themeColor="text1" w:themeTint="7F"/>
    </w:rPr>
  </w:style>
  <w:style w:type="character" w:styleId="IntenseEmphasis">
    <w:name w:val="Intense Emphasis"/>
    <w:basedOn w:val="DefaultParagraphFont"/>
    <w:uiPriority w:val="21"/>
    <w:rsid w:val="00740C27"/>
    <w:rPr>
      <w:b/>
      <w:bCs/>
      <w:i/>
      <w:iCs/>
      <w:color w:val="4F81BD" w:themeColor="accent1"/>
    </w:rPr>
  </w:style>
  <w:style w:type="character" w:styleId="SubtleReference">
    <w:name w:val="Subtle Reference"/>
    <w:basedOn w:val="DefaultParagraphFont"/>
    <w:uiPriority w:val="31"/>
    <w:rsid w:val="00740C27"/>
    <w:rPr>
      <w:smallCaps/>
      <w:color w:val="C0504D" w:themeColor="accent2"/>
      <w:u w:val="single"/>
    </w:rPr>
  </w:style>
  <w:style w:type="character" w:styleId="IntenseReference">
    <w:name w:val="Intense Reference"/>
    <w:basedOn w:val="DefaultParagraphFont"/>
    <w:uiPriority w:val="32"/>
    <w:rsid w:val="00740C27"/>
    <w:rPr>
      <w:b/>
      <w:bCs/>
      <w:smallCaps/>
      <w:color w:val="C0504D" w:themeColor="accent2"/>
      <w:spacing w:val="5"/>
      <w:u w:val="single"/>
    </w:rPr>
  </w:style>
  <w:style w:type="character" w:styleId="BookTitle">
    <w:name w:val="Book Title"/>
    <w:basedOn w:val="DefaultParagraphFont"/>
    <w:uiPriority w:val="33"/>
    <w:rsid w:val="00740C27"/>
    <w:rPr>
      <w:b/>
      <w:bCs/>
      <w:smallCaps/>
      <w:spacing w:val="5"/>
    </w:rPr>
  </w:style>
  <w:style w:type="paragraph" w:styleId="TOCHeading">
    <w:name w:val="TOC Heading"/>
    <w:basedOn w:val="Heading1"/>
    <w:next w:val="Normal"/>
    <w:uiPriority w:val="39"/>
    <w:semiHidden/>
    <w:unhideWhenUsed/>
    <w:qFormat/>
    <w:rsid w:val="00740C27"/>
    <w:pPr>
      <w:outlineLvl w:val="9"/>
    </w:pPr>
  </w:style>
  <w:style w:type="character" w:customStyle="1" w:styleId="FooterChar">
    <w:name w:val="Footer Char"/>
    <w:basedOn w:val="DefaultParagraphFont"/>
    <w:link w:val="Footer"/>
    <w:uiPriority w:val="99"/>
    <w:rsid w:val="00771D40"/>
    <w:rPr>
      <w:rFonts w:ascii="Gill Sans MT" w:hAnsi="Gill Sans MT"/>
      <w:color w:val="595959" w:themeColor="text1" w:themeTint="A6"/>
    </w:rPr>
  </w:style>
  <w:style w:type="paragraph" w:styleId="PlainText">
    <w:name w:val="Plain Text"/>
    <w:basedOn w:val="Normal"/>
    <w:link w:val="PlainTextChar"/>
    <w:uiPriority w:val="99"/>
    <w:semiHidden/>
    <w:unhideWhenUsed/>
    <w:rsid w:val="00A22363"/>
    <w:pPr>
      <w:spacing w:after="0"/>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semiHidden/>
    <w:rsid w:val="00A22363"/>
    <w:rPr>
      <w:rFonts w:ascii="Calibri" w:eastAsia="Calibri" w:hAnsi="Calibri" w:cs="Times New Roman"/>
      <w:szCs w:val="21"/>
      <w:lang w:eastAsia="en-US"/>
    </w:rPr>
  </w:style>
  <w:style w:type="paragraph" w:customStyle="1" w:styleId="citation-user">
    <w:name w:val="citation-user"/>
    <w:basedOn w:val="Normal"/>
    <w:rsid w:val="00A557C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itation-authoring-body">
    <w:name w:val="citation-authoring-body"/>
    <w:basedOn w:val="DefaultParagraphFont"/>
    <w:rsid w:val="00A557CC"/>
  </w:style>
  <w:style w:type="character" w:customStyle="1" w:styleId="citation-year-of-posting">
    <w:name w:val="citation-year-of-posting"/>
    <w:basedOn w:val="DefaultParagraphFont"/>
    <w:rsid w:val="00A557CC"/>
  </w:style>
  <w:style w:type="character" w:customStyle="1" w:styleId="citation-location">
    <w:name w:val="citation-location"/>
    <w:basedOn w:val="DefaultParagraphFont"/>
    <w:rsid w:val="00A557CC"/>
  </w:style>
  <w:style w:type="character" w:customStyle="1" w:styleId="citation-date-accessed">
    <w:name w:val="citation-date-accessed"/>
    <w:basedOn w:val="DefaultParagraphFont"/>
    <w:rsid w:val="00A557CC"/>
  </w:style>
  <w:style w:type="character" w:customStyle="1" w:styleId="citation-url">
    <w:name w:val="citation-url"/>
    <w:basedOn w:val="DefaultParagraphFont"/>
    <w:rsid w:val="00A557CC"/>
  </w:style>
  <w:style w:type="character" w:customStyle="1" w:styleId="citation-author">
    <w:name w:val="citation-author"/>
    <w:basedOn w:val="DefaultParagraphFont"/>
    <w:rsid w:val="00A557CC"/>
  </w:style>
  <w:style w:type="character" w:customStyle="1" w:styleId="citation-role">
    <w:name w:val="citation-role"/>
    <w:basedOn w:val="DefaultParagraphFont"/>
    <w:rsid w:val="00A557CC"/>
  </w:style>
  <w:style w:type="character" w:customStyle="1" w:styleId="citation-year">
    <w:name w:val="citation-year"/>
    <w:basedOn w:val="DefaultParagraphFont"/>
    <w:rsid w:val="00A557CC"/>
  </w:style>
  <w:style w:type="character" w:customStyle="1" w:styleId="citation-publisher">
    <w:name w:val="citation-publisher"/>
    <w:basedOn w:val="DefaultParagraphFont"/>
    <w:rsid w:val="00A557CC"/>
  </w:style>
  <w:style w:type="character" w:customStyle="1" w:styleId="citation-authors">
    <w:name w:val="citation-authors"/>
    <w:basedOn w:val="DefaultParagraphFont"/>
    <w:rsid w:val="00A557CC"/>
  </w:style>
  <w:style w:type="character" w:customStyle="1" w:styleId="citation-year-of-publication">
    <w:name w:val="citation-year-of-publication"/>
    <w:basedOn w:val="DefaultParagraphFont"/>
    <w:rsid w:val="00A557CC"/>
  </w:style>
  <w:style w:type="character" w:customStyle="1" w:styleId="citation-format">
    <w:name w:val="citation-format"/>
    <w:basedOn w:val="DefaultParagraphFont"/>
    <w:rsid w:val="00A557CC"/>
  </w:style>
  <w:style w:type="character" w:customStyle="1" w:styleId="citation-access-date">
    <w:name w:val="citation-access-date"/>
    <w:basedOn w:val="DefaultParagraphFont"/>
    <w:rsid w:val="00A557CC"/>
  </w:style>
  <w:style w:type="character" w:customStyle="1" w:styleId="citation-title">
    <w:name w:val="citation-title"/>
    <w:basedOn w:val="DefaultParagraphFont"/>
    <w:rsid w:val="001A0380"/>
  </w:style>
  <w:style w:type="character" w:customStyle="1" w:styleId="citation-volume">
    <w:name w:val="citation-volume"/>
    <w:basedOn w:val="DefaultParagraphFont"/>
    <w:rsid w:val="001A0380"/>
  </w:style>
  <w:style w:type="character" w:customStyle="1" w:styleId="citation-issue">
    <w:name w:val="citation-issue"/>
    <w:basedOn w:val="DefaultParagraphFont"/>
    <w:rsid w:val="001A0380"/>
  </w:style>
  <w:style w:type="character" w:customStyle="1" w:styleId="citation-date">
    <w:name w:val="citation-date"/>
    <w:basedOn w:val="DefaultParagraphFont"/>
    <w:rsid w:val="001A0380"/>
  </w:style>
  <w:style w:type="character" w:customStyle="1" w:styleId="citation-start-page">
    <w:name w:val="citation-start-page"/>
    <w:basedOn w:val="DefaultParagraphFont"/>
    <w:rsid w:val="001A0380"/>
  </w:style>
  <w:style w:type="character" w:customStyle="1" w:styleId="citation-database-title">
    <w:name w:val="citation-database-title"/>
    <w:basedOn w:val="DefaultParagraphFont"/>
    <w:rsid w:val="001A0380"/>
  </w:style>
  <w:style w:type="character" w:customStyle="1" w:styleId="citation-database-publisher">
    <w:name w:val="citation-database-publisher"/>
    <w:basedOn w:val="DefaultParagraphFont"/>
    <w:rsid w:val="001A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279414">
      <w:bodyDiv w:val="1"/>
      <w:marLeft w:val="0"/>
      <w:marRight w:val="0"/>
      <w:marTop w:val="0"/>
      <w:marBottom w:val="0"/>
      <w:divBdr>
        <w:top w:val="none" w:sz="0" w:space="0" w:color="auto"/>
        <w:left w:val="none" w:sz="0" w:space="0" w:color="auto"/>
        <w:bottom w:val="none" w:sz="0" w:space="0" w:color="auto"/>
        <w:right w:val="none" w:sz="0" w:space="0" w:color="auto"/>
      </w:divBdr>
    </w:div>
    <w:div w:id="350843361">
      <w:bodyDiv w:val="1"/>
      <w:marLeft w:val="0"/>
      <w:marRight w:val="0"/>
      <w:marTop w:val="0"/>
      <w:marBottom w:val="0"/>
      <w:divBdr>
        <w:top w:val="none" w:sz="0" w:space="0" w:color="auto"/>
        <w:left w:val="none" w:sz="0" w:space="0" w:color="auto"/>
        <w:bottom w:val="none" w:sz="0" w:space="0" w:color="auto"/>
        <w:right w:val="none" w:sz="0" w:space="0" w:color="auto"/>
      </w:divBdr>
    </w:div>
    <w:div w:id="428163869">
      <w:bodyDiv w:val="1"/>
      <w:marLeft w:val="0"/>
      <w:marRight w:val="0"/>
      <w:marTop w:val="0"/>
      <w:marBottom w:val="0"/>
      <w:divBdr>
        <w:top w:val="none" w:sz="0" w:space="0" w:color="auto"/>
        <w:left w:val="none" w:sz="0" w:space="0" w:color="auto"/>
        <w:bottom w:val="none" w:sz="0" w:space="0" w:color="auto"/>
        <w:right w:val="none" w:sz="0" w:space="0" w:color="auto"/>
      </w:divBdr>
    </w:div>
    <w:div w:id="966744885">
      <w:bodyDiv w:val="1"/>
      <w:marLeft w:val="0"/>
      <w:marRight w:val="0"/>
      <w:marTop w:val="0"/>
      <w:marBottom w:val="0"/>
      <w:divBdr>
        <w:top w:val="none" w:sz="0" w:space="0" w:color="auto"/>
        <w:left w:val="none" w:sz="0" w:space="0" w:color="auto"/>
        <w:bottom w:val="none" w:sz="0" w:space="0" w:color="auto"/>
        <w:right w:val="none" w:sz="0" w:space="0" w:color="auto"/>
      </w:divBdr>
    </w:div>
    <w:div w:id="990257656">
      <w:bodyDiv w:val="1"/>
      <w:marLeft w:val="0"/>
      <w:marRight w:val="0"/>
      <w:marTop w:val="0"/>
      <w:marBottom w:val="0"/>
      <w:divBdr>
        <w:top w:val="none" w:sz="0" w:space="0" w:color="auto"/>
        <w:left w:val="none" w:sz="0" w:space="0" w:color="auto"/>
        <w:bottom w:val="none" w:sz="0" w:space="0" w:color="auto"/>
        <w:right w:val="none" w:sz="0" w:space="0" w:color="auto"/>
      </w:divBdr>
    </w:div>
    <w:div w:id="1296326960">
      <w:bodyDiv w:val="1"/>
      <w:marLeft w:val="0"/>
      <w:marRight w:val="0"/>
      <w:marTop w:val="0"/>
      <w:marBottom w:val="0"/>
      <w:divBdr>
        <w:top w:val="none" w:sz="0" w:space="0" w:color="auto"/>
        <w:left w:val="none" w:sz="0" w:space="0" w:color="auto"/>
        <w:bottom w:val="none" w:sz="0" w:space="0" w:color="auto"/>
        <w:right w:val="none" w:sz="0" w:space="0" w:color="auto"/>
      </w:divBdr>
    </w:div>
    <w:div w:id="16344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f.edu.au/sites/aqf/files/aqf-2nd-edition-january-201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Training/Details/HLT541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C8CD7FE1302C4F8D346B1DAF8C9FC6" ma:contentTypeVersion="8" ma:contentTypeDescription="Create a new document." ma:contentTypeScope="" ma:versionID="243358ed7d0ed7b704431a144b805a27">
  <xsd:schema xmlns:xsd="http://www.w3.org/2001/XMLSchema" xmlns:xs="http://www.w3.org/2001/XMLSchema" xmlns:p="http://schemas.microsoft.com/office/2006/metadata/properties" xmlns:ns2="3550ccf6-27eb-4bc3-b8c2-cc5ae2425639" targetNamespace="http://schemas.microsoft.com/office/2006/metadata/properties" ma:root="true" ma:fieldsID="9109999449001c079026f39bd7e6c44c" ns2:_="">
    <xsd:import namespace="3550ccf6-27eb-4bc3-b8c2-cc5ae2425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0ccf6-27eb-4bc3-b8c2-cc5ae242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1ACF-25A6-430F-B34D-E2EA373E4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9337C-BB6E-4328-A8A5-0A9EBE70C048}">
  <ds:schemaRefs>
    <ds:schemaRef ds:uri="http://schemas.openxmlformats.org/officeDocument/2006/bibliography"/>
  </ds:schemaRefs>
</ds:datastoreItem>
</file>

<file path=customXml/itemProps3.xml><?xml version="1.0" encoding="utf-8"?>
<ds:datastoreItem xmlns:ds="http://schemas.openxmlformats.org/officeDocument/2006/customXml" ds:itemID="{4E2D976B-DCF2-4EDE-80A7-7B48E400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0ccf6-27eb-4bc3-b8c2-cc5ae2425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4A27F-F333-41F0-A839-B8B8EAE91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TasTAFE Document Template</vt:lpstr>
    </vt:vector>
  </TitlesOfParts>
  <Company>a</Company>
  <LinksUpToDate>false</LinksUpToDate>
  <CharactersWithSpaces>11281</CharactersWithSpaces>
  <SharedDoc>false</SharedDoc>
  <HLinks>
    <vt:vector size="6" baseType="variant">
      <vt:variant>
        <vt:i4>6488091</vt:i4>
      </vt:variant>
      <vt:variant>
        <vt:i4>3866</vt:i4>
      </vt:variant>
      <vt:variant>
        <vt:i4>1025</vt:i4>
      </vt:variant>
      <vt:variant>
        <vt:i4>1</vt:i4>
      </vt:variant>
      <vt:variant>
        <vt:lpwstr>cid:4AB2E9D0-CD8C-4EB2-A836-763B491152EC@gateway.2wire.net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TasTAFE Document Template</dc:title>
  <dc:creator>felicity.reardon@TasTAFE.tas.edu.au</dc:creator>
  <cp:lastModifiedBy>Lockhart, Troy</cp:lastModifiedBy>
  <cp:revision>3</cp:revision>
  <cp:lastPrinted>2021-04-22T22:31:00Z</cp:lastPrinted>
  <dcterms:created xsi:type="dcterms:W3CDTF">2021-04-22T22:30:00Z</dcterms:created>
  <dcterms:modified xsi:type="dcterms:W3CDTF">2021-04-22T22:31:00Z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0x01010097C8CD7FE1302C4F8D346B1DAF8C9FC6</vt:lpwstr>
  </property>
  <property fmtid="{D5CDD505-2E9C-101B-9397-08002B2CF9AE}" pid="3" name="_dlc_DocIdItemGuid">
    <vt:lpwstr>2e547f2e-96e1-4b16-8fb4-5ffac5b00b94</vt:lpwstr>
  </property>
  <property fmtid="{D5CDD505-2E9C-101B-9397-08002B2CF9AE}" pid="4" name="Audience_x0020_Type">
    <vt:lpwstr>3;#Staff|3c6f227f-04ad-4ee7-9218-2e1102906cd4</vt:lpwstr>
  </property>
  <property fmtid="{D5CDD505-2E9C-101B-9397-08002B2CF9AE}" pid="5" name="Document_x0020_Status_x0020_Type">
    <vt:lpwstr>2;#Live|dfa7a893-4358-4665-95ad-f8143853a934</vt:lpwstr>
  </property>
  <property fmtid="{D5CDD505-2E9C-101B-9397-08002B2CF9AE}" pid="6" name="Audience Type">
    <vt:lpwstr>3</vt:lpwstr>
  </property>
  <property fmtid="{D5CDD505-2E9C-101B-9397-08002B2CF9AE}" pid="7" name="Document Status Type">
    <vt:lpwstr>2</vt:lpwstr>
  </property>
  <property fmtid="{D5CDD505-2E9C-101B-9397-08002B2CF9AE}" pid="8" name="TasTafe - Business Unit">
    <vt:lpwstr>29;#Marketing Media and Communications|271d4d6b-c85b-4597-b6ce-7a2cc8287ff5</vt:lpwstr>
  </property>
  <property fmtid="{D5CDD505-2E9C-101B-9397-08002B2CF9AE}" pid="9" name="TasTafe - Subject Category">
    <vt:lpwstr>103;#Communications Toolkit|3e4aab51-e26b-4033-8138-e99148af8c3d</vt:lpwstr>
  </property>
  <property fmtid="{D5CDD505-2E9C-101B-9397-08002B2CF9AE}" pid="10" name="TasTafe_x0020__x002d__x0020_MegaMenu_x0020_Navigation">
    <vt:lpwstr/>
  </property>
  <property fmtid="{D5CDD505-2E9C-101B-9397-08002B2CF9AE}" pid="11" name="TasTafe_x0020__x002d__x0020_Division">
    <vt:lpwstr/>
  </property>
  <property fmtid="{D5CDD505-2E9C-101B-9397-08002B2CF9AE}" pid="12" name="TasTafe - Division">
    <vt:lpwstr/>
  </property>
  <property fmtid="{D5CDD505-2E9C-101B-9397-08002B2CF9AE}" pid="13" name="TasTafe - MegaMenu Navigation">
    <vt:lpwstr/>
  </property>
  <property fmtid="{D5CDD505-2E9C-101B-9397-08002B2CF9AE}" pid="14" name="TaxCatchAll">
    <vt:lpwstr>29;#;#103;#;#3;#;#2;#</vt:lpwstr>
  </property>
  <property fmtid="{D5CDD505-2E9C-101B-9397-08002B2CF9AE}" pid="15" name="Date Authorised">
    <vt:filetime>2014-06-22T14:00:00Z</vt:filetime>
  </property>
  <property fmtid="{D5CDD505-2E9C-101B-9397-08002B2CF9AE}" pid="16" name="d86430c5218e4e4aa78ac69c56094b04">
    <vt:lpwstr>Staff|3c6f227f-04ad-4ee7-9218-2e1102906cd4</vt:lpwstr>
  </property>
  <property fmtid="{D5CDD505-2E9C-101B-9397-08002B2CF9AE}" pid="17" name="Last Edited">
    <vt:lpwstr/>
  </property>
  <property fmtid="{D5CDD505-2E9C-101B-9397-08002B2CF9AE}" pid="18" name="Last Review">
    <vt:filetime>2014-06-23T05:38:08Z</vt:filetime>
  </property>
  <property fmtid="{D5CDD505-2E9C-101B-9397-08002B2CF9AE}" pid="19" name="ia5bbee6315d4fc49994defdc57a27da">
    <vt:lpwstr>Communications Toolkit|3e4aab51-e26b-4033-8138-e99148af8c3d</vt:lpwstr>
  </property>
  <property fmtid="{D5CDD505-2E9C-101B-9397-08002B2CF9AE}" pid="20" name="g6116117ebc14111bd029fe32c96de27">
    <vt:lpwstr>Marketing Media and Communications|271d4d6b-c85b-4597-b6ce-7a2cc8287ff5</vt:lpwstr>
  </property>
  <property fmtid="{D5CDD505-2E9C-101B-9397-08002B2CF9AE}" pid="21" name="g01f9e8a0ae648ff978eac0b38aa4c15">
    <vt:lpwstr>Live|dfa7a893-4358-4665-95ad-f8143853a934</vt:lpwstr>
  </property>
</Properties>
</file>